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189"/>
      <w:bookmarkStart w:id="2" w:name="_Toc17040"/>
      <w:bookmarkStart w:id="3" w:name="_Toc15365"/>
      <w:bookmarkStart w:id="4" w:name="_Toc16091"/>
      <w:bookmarkStart w:id="5" w:name="_Toc15553"/>
      <w:bookmarkStart w:id="6" w:name="_Toc14315"/>
      <w:bookmarkStart w:id="7" w:name="_Toc3493"/>
      <w:r>
        <w:rPr>
          <w:rFonts w:hint="eastAsia"/>
          <w:sz w:val="24"/>
        </w:rPr>
        <w:t xml:space="preserve"> </w:t>
      </w:r>
    </w:p>
    <w:p>
      <w:pPr>
        <w:jc w:val="center"/>
        <w:rPr>
          <w:sz w:val="24"/>
        </w:rPr>
      </w:pPr>
    </w:p>
    <w:p>
      <w:pPr>
        <w:jc w:val="center"/>
        <w:rPr>
          <w:sz w:val="24"/>
        </w:rPr>
      </w:pPr>
    </w:p>
    <w:p>
      <w:pPr>
        <w:jc w:val="center"/>
        <w:rPr>
          <w:sz w:val="24"/>
        </w:rPr>
      </w:pPr>
    </w:p>
    <w:p>
      <w:pPr>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中山大学孙逸仙纪念医院第三方桌面运维项目</w:t>
      </w:r>
    </w:p>
    <w:p>
      <w:pPr>
        <w:spacing w:line="480" w:lineRule="auto"/>
        <w:jc w:val="center"/>
        <w:rPr>
          <w:rFonts w:hint="eastAsia" w:ascii="宋体" w:hAnsi="宋体"/>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9"/>
      </w:pPr>
    </w:p>
    <w:p>
      <w:pPr>
        <w:pStyle w:val="19"/>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rPr>
        <w:t>项目编号：ZCB-20240012</w:t>
      </w:r>
    </w:p>
    <w:p>
      <w:pPr>
        <w:adjustRightInd w:val="0"/>
        <w:snapToGrid w:val="0"/>
        <w:spacing w:line="360" w:lineRule="auto"/>
        <w:ind w:firstLine="2891" w:firstLineChars="900"/>
        <w:rPr>
          <w:rFonts w:hint="default" w:ascii="仿宋" w:hAnsi="仿宋" w:eastAsia="仿宋" w:cs="仿宋"/>
          <w:b/>
          <w:bCs/>
          <w:sz w:val="32"/>
          <w:szCs w:val="32"/>
          <w:lang w:val="en-US" w:eastAsia="zh-CN"/>
        </w:rPr>
      </w:pPr>
    </w:p>
    <w:p>
      <w:pPr>
        <w:adjustRightInd w:val="0"/>
        <w:snapToGrid w:val="0"/>
        <w:spacing w:line="360" w:lineRule="auto"/>
        <w:jc w:val="center"/>
        <w:rPr>
          <w:rFonts w:hint="eastAsia" w:ascii="仿宋" w:hAnsi="仿宋" w:eastAsia="仿宋" w:cs="仿宋"/>
          <w:b/>
          <w:bCs/>
          <w:sz w:val="36"/>
          <w:szCs w:val="36"/>
        </w:rPr>
      </w:pPr>
    </w:p>
    <w:p>
      <w:pPr>
        <w:pStyle w:val="19"/>
        <w:rPr>
          <w:rFonts w:hint="eastAsia" w:ascii="仿宋" w:hAnsi="仿宋" w:eastAsia="仿宋" w:cs="仿宋"/>
          <w:b/>
          <w:bCs/>
          <w:sz w:val="36"/>
          <w:szCs w:val="36"/>
        </w:rPr>
      </w:pPr>
    </w:p>
    <w:p>
      <w:pPr>
        <w:pStyle w:val="19"/>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30"/>
        <w:tabs>
          <w:tab w:val="right" w:leader="dot" w:pos="9070"/>
        </w:tabs>
        <w:rPr>
          <w:rFonts w:hint="eastAsia" w:ascii="仿宋" w:hAnsi="仿宋" w:eastAsia="仿宋" w:cs="仿宋"/>
          <w:b/>
          <w:bCs/>
          <w:sz w:val="28"/>
          <w:szCs w:val="28"/>
        </w:rPr>
      </w:pPr>
    </w:p>
    <w:p>
      <w:pPr>
        <w:pStyle w:val="20"/>
        <w:rPr>
          <w:rFonts w:ascii="宋体" w:hAnsi="宋体"/>
          <w:bCs/>
          <w:szCs w:val="28"/>
        </w:rPr>
      </w:pPr>
      <w:r>
        <w:rPr>
          <w:rFonts w:hint="eastAsia" w:ascii="仿宋" w:hAnsi="仿宋" w:eastAsia="仿宋" w:cs="仿宋"/>
          <w:b/>
          <w:bCs/>
          <w:sz w:val="28"/>
          <w:szCs w:val="28"/>
        </w:rPr>
        <w:fldChar w:fldCharType="end"/>
      </w:r>
    </w:p>
    <w:p>
      <w:pPr>
        <w:pStyle w:val="20"/>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"mailto:syxzcbgs02@163.com" </w:instrText>
      </w:r>
      <w:r>
        <w:rPr>
          <w:rFonts w:hint="eastAsia" w:ascii="仿宋" w:hAnsi="仿宋" w:eastAsia="仿宋" w:cs="仿宋"/>
          <w:kern w:val="0"/>
          <w:sz w:val="24"/>
          <w:lang w:val="en-US" w:eastAsia="zh-CN"/>
        </w:rPr>
        <w:fldChar w:fldCharType="separate"/>
      </w:r>
      <w:r>
        <w:rPr>
          <w:rStyle w:val="17"/>
          <w:rFonts w:hint="eastAsia" w:ascii="仿宋" w:hAnsi="仿宋" w:eastAsia="仿宋" w:cs="仿宋"/>
          <w:kern w:val="0"/>
          <w:sz w:val="24"/>
          <w:lang w:val="en-US" w:eastAsia="zh-CN"/>
        </w:rPr>
        <w:t>sszxyyzcb@126.com</w:t>
      </w:r>
      <w:r>
        <w:rPr>
          <w:rFonts w:hint="eastAsia" w:ascii="仿宋" w:hAnsi="仿宋" w:eastAsia="仿宋" w:cs="仿宋"/>
          <w:kern w:val="0"/>
          <w:sz w:val="24"/>
          <w:lang w:val="en-US" w:eastAsia="zh-CN"/>
        </w:rPr>
        <w:fldChar w:fldCharType="end"/>
      </w:r>
    </w:p>
    <w:p>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r>
        <w:rPr>
          <w:rFonts w:hint="eastAsia" w:ascii="仿宋" w:hAnsi="仿宋" w:eastAsia="仿宋" w:cs="仿宋"/>
          <w:b w:val="0"/>
          <w:bCs/>
          <w:color w:val="000000"/>
          <w:sz w:val="24"/>
          <w:szCs w:val="24"/>
          <w:highlight w:val="none"/>
          <w:lang w:eastAsia="zh-CN"/>
        </w:rPr>
        <w:t>中山大学孙逸仙纪念医院深汕中心医院第三方桌面运维项目</w:t>
      </w:r>
      <w:r>
        <w:rPr>
          <w:rFonts w:hint="eastAsia" w:ascii="仿宋" w:hAnsi="仿宋" w:eastAsia="仿宋" w:cs="仿宋"/>
          <w:i w:val="0"/>
          <w:iCs w:val="0"/>
          <w:caps w:val="0"/>
          <w:color w:val="000000"/>
          <w:spacing w:val="0"/>
          <w:sz w:val="24"/>
          <w:szCs w:val="24"/>
          <w:u w:val="none"/>
          <w:vertAlign w:val="baseline"/>
        </w:rPr>
        <w:t>-某某公司</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5.报名截止时间：2024年4月18日下午17:00，以邮件接收时间为准，超时视为无效报名。</w:t>
      </w:r>
      <w:bookmarkStart w:id="134" w:name="_GoBack"/>
      <w:bookmarkEnd w:id="134"/>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我院采购评审会议，如因特殊情况未能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9"/>
        <w:rPr>
          <w:rFonts w:ascii="宋体" w:hAnsi="宋体"/>
          <w:b/>
          <w:bCs/>
          <w:sz w:val="24"/>
          <w:highlight w:val="yellow"/>
        </w:rPr>
      </w:pPr>
    </w:p>
    <w:p>
      <w:pPr>
        <w:pStyle w:val="19"/>
        <w:rPr>
          <w:rFonts w:ascii="宋体" w:hAnsi="宋体"/>
          <w:b/>
          <w:bCs/>
          <w:sz w:val="24"/>
          <w:highlight w:val="yellow"/>
        </w:rPr>
      </w:pPr>
    </w:p>
    <w:p>
      <w:pPr>
        <w:pStyle w:val="19"/>
        <w:rPr>
          <w:rFonts w:ascii="宋体" w:hAnsi="宋体"/>
          <w:b/>
          <w:bCs/>
          <w:sz w:val="24"/>
          <w:highlight w:val="yellow"/>
        </w:rPr>
      </w:pPr>
    </w:p>
    <w:p>
      <w:pPr>
        <w:pStyle w:val="20"/>
      </w:pPr>
    </w:p>
    <w:p>
      <w:pPr>
        <w:pStyle w:val="3"/>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6"/>
        <w:numPr>
          <w:ilvl w:val="0"/>
          <w:numId w:val="0"/>
        </w:numPr>
        <w:spacing w:line="360" w:lineRule="auto"/>
        <w:ind w:leftChars="-175"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一、</w:t>
      </w: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6"/>
        <w:numPr>
          <w:ilvl w:val="0"/>
          <w:numId w:val="0"/>
        </w:numPr>
        <w:spacing w:line="360" w:lineRule="auto"/>
        <w:ind w:leftChars="-175" w:firstLine="240" w:firstLineChars="100"/>
        <w:rPr>
          <w:rFonts w:hint="eastAsia" w:ascii="仿宋" w:hAnsi="仿宋" w:eastAsia="仿宋" w:cs="仿宋"/>
          <w:color w:val="auto"/>
          <w:sz w:val="24"/>
        </w:rPr>
      </w:pPr>
      <w:r>
        <w:rPr>
          <w:rFonts w:hint="eastAsia" w:ascii="仿宋" w:hAnsi="仿宋" w:eastAsia="仿宋" w:cs="仿宋"/>
          <w:color w:val="auto"/>
          <w:sz w:val="24"/>
          <w:lang w:val="en-US" w:eastAsia="zh-CN"/>
        </w:rPr>
        <w:t>二、报名资质要求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6"/>
        <w:ind w:firstLine="480" w:firstLineChars="200"/>
        <w:rPr>
          <w:rFonts w:ascii="仿宋" w:hAnsi="仿宋" w:eastAsia="仿宋"/>
          <w:sz w:val="24"/>
          <w:szCs w:val="24"/>
          <w:lang w:val="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snapToGrid w:val="0"/>
        <w:spacing w:line="360" w:lineRule="auto"/>
        <w:ind w:firstLine="480" w:firstLineChars="200"/>
        <w:rPr>
          <w:rFonts w:hint="eastAsia" w:ascii="仿宋" w:hAnsi="仿宋" w:eastAsia="仿宋"/>
          <w:sz w:val="24"/>
          <w:szCs w:val="24"/>
          <w:lang w:eastAsia="zh-CN"/>
        </w:rPr>
      </w:pPr>
      <w:r>
        <w:rPr>
          <w:rFonts w:hint="eastAsia" w:ascii="仿宋" w:hAnsi="仿宋"/>
          <w:sz w:val="24"/>
          <w:szCs w:val="24"/>
          <w:lang w:val="en-US" w:eastAsia="zh-CN"/>
        </w:rPr>
        <w:t>2</w:t>
      </w:r>
      <w:r>
        <w:rPr>
          <w:rFonts w:hint="eastAsia" w:ascii="仿宋" w:hAnsi="仿宋" w:eastAsia="仿宋"/>
          <w:sz w:val="24"/>
          <w:szCs w:val="24"/>
          <w:lang w:val="zh-CN"/>
        </w:rPr>
        <w:t>、</w:t>
      </w:r>
      <w:r>
        <w:rPr>
          <w:rFonts w:hint="eastAsia" w:ascii="仿宋" w:hAnsi="仿宋" w:eastAsia="仿宋"/>
          <w:sz w:val="24"/>
          <w:szCs w:val="24"/>
        </w:rPr>
        <w:t>没有被列入失信被执行人、重大税收违法案件当事人名单（即税收违法黑名单）、政府采购严重违法失信行为记录名单及其他不符合规定条件的供应商。[根据信用中国网站（www.creditchina.gov.cn）、中国政府采购网（www.ccgp.gov.cn）主体信用记录信息进行查询]。</w:t>
      </w:r>
    </w:p>
    <w:p>
      <w:pPr>
        <w:snapToGrid w:val="0"/>
        <w:spacing w:line="360" w:lineRule="auto"/>
        <w:ind w:firstLine="480" w:firstLineChars="200"/>
        <w:rPr>
          <w:rFonts w:ascii="仿宋" w:hAnsi="仿宋" w:eastAsia="仿宋"/>
          <w:sz w:val="24"/>
          <w:szCs w:val="24"/>
          <w:lang w:val="zh-CN"/>
        </w:rPr>
      </w:pPr>
      <w:r>
        <w:rPr>
          <w:rFonts w:hint="eastAsia" w:ascii="仿宋" w:hAnsi="仿宋"/>
          <w:sz w:val="24"/>
          <w:szCs w:val="24"/>
          <w:lang w:val="en-US" w:eastAsia="zh-CN"/>
        </w:rPr>
        <w:t>3</w:t>
      </w:r>
      <w:r>
        <w:rPr>
          <w:rFonts w:hint="eastAsia" w:ascii="仿宋" w:hAnsi="仿宋" w:eastAsia="仿宋"/>
          <w:sz w:val="24"/>
          <w:szCs w:val="24"/>
          <w:lang w:val="zh-CN"/>
        </w:rPr>
        <w:t>、</w:t>
      </w:r>
      <w:r>
        <w:rPr>
          <w:rFonts w:hint="eastAsia" w:ascii="仿宋" w:hAnsi="仿宋" w:eastAsia="仿宋"/>
          <w:sz w:val="24"/>
          <w:szCs w:val="24"/>
        </w:rPr>
        <w:t>单位负责人为同一人或者存在直接控股、管理关系的不同供应商，不得参加同一包号投标或者未划分包号的同一招标项目投标。</w:t>
      </w:r>
    </w:p>
    <w:p>
      <w:pPr>
        <w:snapToGrid w:val="0"/>
        <w:spacing w:line="360" w:lineRule="auto"/>
        <w:ind w:firstLine="480" w:firstLineChars="200"/>
        <w:rPr>
          <w:rFonts w:hint="eastAsia" w:ascii="仿宋" w:hAnsi="仿宋" w:eastAsia="仿宋"/>
          <w:sz w:val="24"/>
          <w:szCs w:val="24"/>
        </w:rPr>
      </w:pPr>
      <w:r>
        <w:rPr>
          <w:rFonts w:hint="eastAsia" w:ascii="仿宋" w:hAnsi="仿宋"/>
          <w:sz w:val="24"/>
          <w:szCs w:val="24"/>
          <w:lang w:val="en-US" w:eastAsia="zh-CN"/>
        </w:rPr>
        <w:t>4</w:t>
      </w:r>
      <w:r>
        <w:rPr>
          <w:rFonts w:hint="eastAsia" w:ascii="仿宋" w:hAnsi="仿宋" w:eastAsia="仿宋"/>
          <w:sz w:val="24"/>
          <w:szCs w:val="24"/>
          <w:lang w:val="zh-CN"/>
        </w:rPr>
        <w:t>、</w:t>
      </w:r>
      <w:r>
        <w:rPr>
          <w:rFonts w:hint="eastAsia" w:ascii="仿宋" w:hAnsi="仿宋" w:eastAsia="仿宋"/>
          <w:sz w:val="24"/>
          <w:szCs w:val="24"/>
        </w:rPr>
        <w:t>为采购项目提供整体设计、规范编制或者项目管理、监理、检测等服务的供应商，不得再参加该采购项目的其他采购活动。</w:t>
      </w:r>
    </w:p>
    <w:p>
      <w:pPr>
        <w:numPr>
          <w:ilvl w:val="0"/>
          <w:numId w:val="0"/>
        </w:numPr>
        <w:spacing w:line="360" w:lineRule="auto"/>
        <w:ind w:firstLine="480" w:firstLineChars="200"/>
      </w:pPr>
      <w:r>
        <w:rPr>
          <w:rFonts w:hint="eastAsia" w:ascii="仿宋" w:hAnsi="仿宋" w:eastAsia="仿宋" w:cs="仿宋"/>
          <w:b w:val="0"/>
          <w:bCs/>
          <w:color w:val="000000"/>
          <w:kern w:val="2"/>
          <w:sz w:val="24"/>
          <w:szCs w:val="24"/>
          <w:highlight w:val="none"/>
          <w:lang w:val="en-US" w:eastAsia="zh-CN"/>
        </w:rPr>
        <w:t>5、</w:t>
      </w:r>
      <w:r>
        <w:rPr>
          <w:rFonts w:hint="eastAsia" w:ascii="仿宋" w:hAnsi="仿宋" w:eastAsia="仿宋" w:cs="仿宋"/>
          <w:bCs/>
          <w:color w:val="000000"/>
          <w:sz w:val="24"/>
          <w:szCs w:val="24"/>
          <w:highlight w:val="none"/>
        </w:rPr>
        <w:t>必须是具有独立承担民事责任能力的在中华人民共和国境内注册的法人或其他组织。提供有效的营业执照（或事业法人登记证或身份证等相关证明）副本复印件，如为分公司报名，必须同时提供总公司的营业执照副本复印件及总公司针对本项目响应的授权书。</w:t>
      </w:r>
    </w:p>
    <w:p>
      <w:pPr>
        <w:spacing w:line="360" w:lineRule="auto"/>
        <w:ind w:firstLine="480" w:firstLineChars="200"/>
        <w:rPr>
          <w:rFonts w:hint="eastAsia" w:ascii="仿宋" w:hAnsi="仿宋" w:eastAsia="仿宋" w:cs="Times New Roman"/>
          <w:sz w:val="24"/>
          <w:szCs w:val="24"/>
          <w:highlight w:val="none"/>
          <w:lang w:val="zh-CN"/>
        </w:rPr>
      </w:pPr>
      <w:r>
        <w:rPr>
          <w:rFonts w:hint="eastAsia" w:ascii="仿宋" w:hAnsi="仿宋"/>
          <w:sz w:val="24"/>
          <w:szCs w:val="24"/>
          <w:lang w:val="en-US" w:eastAsia="zh-CN"/>
        </w:rPr>
        <w:t>6</w:t>
      </w:r>
      <w:r>
        <w:rPr>
          <w:rFonts w:hint="eastAsia" w:ascii="仿宋" w:hAnsi="仿宋" w:eastAsia="仿宋"/>
          <w:sz w:val="24"/>
          <w:szCs w:val="24"/>
          <w:lang w:val="zh-CN"/>
        </w:rPr>
        <w:t>、本项目不接受联合体投标</w:t>
      </w:r>
      <w:r>
        <w:rPr>
          <w:rFonts w:hint="eastAsia" w:ascii="仿宋" w:hAnsi="仿宋" w:eastAsia="仿宋" w:cs="Times New Roman"/>
          <w:sz w:val="24"/>
          <w:szCs w:val="24"/>
          <w:lang w:val="zh-CN"/>
        </w:rPr>
        <w:t>，</w:t>
      </w:r>
      <w:r>
        <w:rPr>
          <w:rFonts w:hint="eastAsia" w:ascii="仿宋" w:hAnsi="仿宋" w:eastAsia="仿宋" w:cs="Times New Roman"/>
          <w:sz w:val="24"/>
          <w:szCs w:val="24"/>
          <w:highlight w:val="none"/>
          <w:lang w:val="zh-CN" w:eastAsia="zh-CN"/>
        </w:rPr>
        <w:t>成交供应商不得分包、转包。</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3"/>
        <w:jc w:val="center"/>
      </w:pPr>
    </w:p>
    <w:p>
      <w:pPr>
        <w:pStyle w:val="3"/>
        <w:jc w:val="both"/>
        <w:rPr>
          <w:rFonts w:hint="eastAsia"/>
        </w:rPr>
      </w:pPr>
    </w:p>
    <w:p>
      <w:pPr>
        <w:pStyle w:val="3"/>
        <w:jc w:val="center"/>
        <w:rPr>
          <w:rFonts w:hint="eastAsia"/>
        </w:rPr>
      </w:pPr>
    </w:p>
    <w:p>
      <w:pPr>
        <w:pStyle w:val="3"/>
        <w:jc w:val="center"/>
        <w:rPr>
          <w:rFonts w:hint="eastAsia"/>
        </w:rPr>
      </w:pPr>
    </w:p>
    <w:p>
      <w:pPr>
        <w:pStyle w:val="3"/>
        <w:jc w:val="center"/>
        <w:rPr>
          <w:rFonts w:hint="eastAsia"/>
        </w:rPr>
      </w:pPr>
    </w:p>
    <w:p>
      <w:pPr>
        <w:pStyle w:val="3"/>
        <w:jc w:val="center"/>
      </w:pPr>
      <w:r>
        <w:rPr>
          <w:rFonts w:hint="eastAsia"/>
        </w:rPr>
        <w:t xml:space="preserve">第三部分 </w:t>
      </w:r>
      <w:r>
        <w:rPr>
          <w:rFonts w:hint="eastAsia"/>
          <w:lang w:val="en-US" w:eastAsia="zh-CN"/>
        </w:rPr>
        <w:t>报名</w:t>
      </w:r>
      <w:r>
        <w:rPr>
          <w:rFonts w:hint="eastAsia"/>
        </w:rPr>
        <w:t>格式文件模板</w:t>
      </w: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widowControl/>
        <w:spacing w:line="360" w:lineRule="auto"/>
        <w:jc w:val="center"/>
        <w:outlineLvl w:val="0"/>
        <w:rPr>
          <w:rFonts w:ascii="宋体" w:hAnsi="宋体" w:cs="宋体"/>
          <w:b/>
          <w:kern w:val="0"/>
          <w:sz w:val="40"/>
          <w:szCs w:val="27"/>
        </w:rPr>
      </w:pPr>
      <w:bookmarkStart w:id="12" w:name="_Toc31740"/>
      <w:bookmarkStart w:id="13" w:name="_Toc31053"/>
      <w:bookmarkStart w:id="14" w:name="_Toc28528"/>
      <w:bookmarkStart w:id="15" w:name="_Toc14488"/>
      <w:bookmarkStart w:id="16" w:name="_Toc17375"/>
      <w:bookmarkStart w:id="17" w:name="_Toc25869"/>
      <w:bookmarkStart w:id="18" w:name="_Toc6151"/>
      <w:bookmarkStart w:id="19" w:name="_Toc6408"/>
      <w:bookmarkStart w:id="20" w:name="_Toc24"/>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default" w:ascii="仿宋" w:hAnsi="仿宋" w:eastAsia="仿宋" w:cs="仿宋"/>
          <w:b/>
          <w:kern w:val="0"/>
          <w:sz w:val="28"/>
          <w:szCs w:val="28"/>
          <w:lang w:val="en-US" w:eastAsia="zh-CN"/>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r>
        <w:rPr>
          <w:rFonts w:hint="eastAsia" w:ascii="仿宋" w:hAnsi="仿宋" w:eastAsia="仿宋" w:cs="仿宋"/>
          <w:b/>
          <w:kern w:val="0"/>
          <w:sz w:val="52"/>
          <w:szCs w:val="52"/>
          <w:lang w:val="en-US" w:eastAsia="zh-CN"/>
        </w:rPr>
        <w:t>深汕中心医院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2"/>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7291"/>
      <w:bookmarkStart w:id="22" w:name="_Toc11075"/>
      <w:bookmarkStart w:id="23" w:name="_Toc15870"/>
      <w:bookmarkStart w:id="24" w:name="_Toc40346375"/>
      <w:bookmarkStart w:id="25" w:name="_Toc8364"/>
      <w:bookmarkStart w:id="26" w:name="_Toc40776111"/>
      <w:bookmarkStart w:id="27" w:name="_Toc11305"/>
      <w:bookmarkStart w:id="28" w:name="_Toc26267"/>
      <w:bookmarkStart w:id="29" w:name="_Toc12520"/>
      <w:bookmarkStart w:id="30" w:name="_Toc3471"/>
      <w:bookmarkStart w:id="31" w:name="_Toc28703"/>
      <w:bookmarkStart w:id="32" w:name="_Toc435"/>
      <w:bookmarkStart w:id="33" w:name="_Toc40346216"/>
      <w:bookmarkStart w:id="34" w:name="_Toc1994"/>
      <w:bookmarkStart w:id="35" w:name="_Toc6547"/>
      <w:bookmarkStart w:id="36" w:name="_Toc21249"/>
      <w:bookmarkStart w:id="37" w:name="_Toc29113"/>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40776112"/>
      <w:bookmarkStart w:id="40" w:name="_Toc1743"/>
      <w:bookmarkStart w:id="41" w:name="_Toc40346376"/>
      <w:bookmarkStart w:id="42" w:name="_Toc17709"/>
      <w:bookmarkStart w:id="43" w:name="_Toc20884"/>
      <w:bookmarkStart w:id="44" w:name="_Toc2916"/>
      <w:bookmarkStart w:id="45" w:name="_Toc40346217"/>
    </w:p>
    <w:p>
      <w:pPr>
        <w:widowControl/>
        <w:spacing w:line="360" w:lineRule="auto"/>
        <w:ind w:firstLine="600"/>
        <w:outlineLvl w:val="0"/>
        <w:rPr>
          <w:rFonts w:hint="eastAsia" w:ascii="仿宋" w:hAnsi="仿宋" w:eastAsia="仿宋" w:cs="仿宋"/>
          <w:kern w:val="0"/>
          <w:sz w:val="30"/>
          <w:szCs w:val="30"/>
        </w:rPr>
      </w:pPr>
      <w:bookmarkStart w:id="46" w:name="_Toc29102"/>
      <w:bookmarkStart w:id="47" w:name="_Toc30979"/>
      <w:bookmarkStart w:id="48" w:name="_Toc5238"/>
      <w:bookmarkStart w:id="49" w:name="_Toc2029"/>
      <w:bookmarkStart w:id="50" w:name="_Toc11485"/>
      <w:bookmarkStart w:id="51" w:name="_Toc2012"/>
      <w:bookmarkStart w:id="52" w:name="_Toc19699"/>
      <w:bookmarkStart w:id="53" w:name="_Toc31538"/>
      <w:bookmarkStart w:id="54" w:name="_Toc23097"/>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12645"/>
      <w:bookmarkStart w:id="56" w:name="_Toc24763"/>
      <w:bookmarkStart w:id="57" w:name="_Toc14824"/>
      <w:bookmarkStart w:id="58" w:name="_Toc21483"/>
      <w:bookmarkStart w:id="59" w:name="_Toc40346218"/>
      <w:bookmarkStart w:id="60" w:name="_Toc31993"/>
      <w:bookmarkStart w:id="61" w:name="_Toc11141"/>
      <w:bookmarkStart w:id="62" w:name="_Toc17930"/>
      <w:bookmarkStart w:id="63" w:name="_Toc4013"/>
      <w:bookmarkStart w:id="64" w:name="_Toc11558"/>
      <w:bookmarkStart w:id="65" w:name="_Toc29767"/>
      <w:bookmarkStart w:id="66" w:name="_Toc40776113"/>
      <w:bookmarkStart w:id="67" w:name="_Toc27867"/>
      <w:bookmarkStart w:id="68" w:name="_Toc28064"/>
      <w:bookmarkStart w:id="69" w:name="_Toc40346377"/>
      <w:bookmarkStart w:id="70" w:name="_Toc7052"/>
      <w:bookmarkStart w:id="71" w:name="_Toc1679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31197"/>
      <w:bookmarkStart w:id="73" w:name="_Toc27771"/>
      <w:bookmarkStart w:id="74" w:name="_Toc14287"/>
      <w:bookmarkStart w:id="75" w:name="_Toc6438"/>
      <w:bookmarkStart w:id="76" w:name="_Toc32709"/>
      <w:bookmarkStart w:id="77" w:name="_Toc9883"/>
      <w:bookmarkStart w:id="78" w:name="_Toc40346219"/>
      <w:bookmarkStart w:id="79" w:name="_Toc11334"/>
      <w:bookmarkStart w:id="80" w:name="_Toc40776114"/>
      <w:bookmarkStart w:id="81" w:name="_Toc40346378"/>
      <w:bookmarkStart w:id="82" w:name="_Toc1324"/>
      <w:bookmarkStart w:id="83" w:name="_Toc17537"/>
      <w:bookmarkStart w:id="84" w:name="_Toc26029"/>
      <w:bookmarkStart w:id="85" w:name="_Toc4563"/>
      <w:bookmarkStart w:id="86" w:name="_Toc19831"/>
      <w:bookmarkStart w:id="87" w:name="_Toc16813"/>
      <w:bookmarkStart w:id="88" w:name="_Toc24651"/>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21940"/>
      <w:bookmarkStart w:id="90" w:name="_Toc13222"/>
      <w:bookmarkStart w:id="91" w:name="_Toc40346220"/>
      <w:bookmarkStart w:id="92" w:name="_Toc5189"/>
      <w:bookmarkStart w:id="93" w:name="_Toc3895"/>
      <w:bookmarkStart w:id="94" w:name="_Toc30336"/>
      <w:bookmarkStart w:id="95" w:name="_Toc40346379"/>
      <w:bookmarkStart w:id="96" w:name="_Toc27868"/>
      <w:bookmarkStart w:id="97" w:name="_Toc12650"/>
      <w:bookmarkStart w:id="98" w:name="_Toc14586"/>
      <w:bookmarkStart w:id="99" w:name="_Toc20994"/>
      <w:bookmarkStart w:id="100" w:name="_Toc17483"/>
      <w:bookmarkStart w:id="101" w:name="_Toc27206"/>
      <w:bookmarkStart w:id="102" w:name="_Toc18353"/>
      <w:bookmarkStart w:id="103" w:name="_Toc40776115"/>
      <w:bookmarkStart w:id="104" w:name="_Toc21686"/>
      <w:bookmarkStart w:id="105" w:name="_Toc5634"/>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40776116"/>
      <w:bookmarkStart w:id="107" w:name="_Toc14462"/>
      <w:bookmarkStart w:id="108" w:name="_Toc10454"/>
      <w:bookmarkStart w:id="109" w:name="_Toc3498"/>
      <w:bookmarkStart w:id="110" w:name="_Toc9282"/>
      <w:bookmarkStart w:id="111" w:name="_Toc5220"/>
      <w:bookmarkStart w:id="112" w:name="_Toc27646"/>
      <w:bookmarkStart w:id="113" w:name="_Toc11547"/>
      <w:bookmarkStart w:id="114" w:name="_Toc32371"/>
      <w:bookmarkStart w:id="115" w:name="_Toc30904"/>
      <w:bookmarkStart w:id="116" w:name="_Toc12127"/>
      <w:bookmarkStart w:id="117" w:name="_Toc40346221"/>
      <w:bookmarkStart w:id="118" w:name="_Toc40346380"/>
      <w:bookmarkStart w:id="119" w:name="_Toc21449"/>
      <w:bookmarkStart w:id="120" w:name="_Toc30856"/>
      <w:bookmarkStart w:id="121" w:name="_Toc8526"/>
      <w:bookmarkStart w:id="122" w:name="_Toc27009"/>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20"/>
      </w:pPr>
    </w:p>
    <w:p>
      <w:pPr>
        <w:pStyle w:val="20"/>
      </w:pPr>
    </w:p>
    <w:p>
      <w:pPr>
        <w:pStyle w:val="26"/>
        <w:spacing w:line="360" w:lineRule="auto"/>
        <w:ind w:firstLine="0" w:firstLineChars="0"/>
        <w:rPr>
          <w:rFonts w:ascii="宋体" w:hAnsi="宋体"/>
          <w:bCs/>
          <w:color w:val="FF0000"/>
          <w:sz w:val="24"/>
          <w:szCs w:val="24"/>
        </w:rPr>
      </w:pPr>
      <w:bookmarkStart w:id="123" w:name="_Toc16608"/>
      <w:bookmarkStart w:id="124" w:name="_Toc15539"/>
      <w:bookmarkStart w:id="125" w:name="_Toc9697"/>
      <w:bookmarkStart w:id="126" w:name="_Toc31077"/>
      <w:bookmarkStart w:id="127" w:name="_Toc6691"/>
      <w:bookmarkStart w:id="128" w:name="_Toc8637"/>
      <w:bookmarkStart w:id="129" w:name="_Toc16728"/>
      <w:bookmarkStart w:id="130" w:name="_Toc21213"/>
      <w:bookmarkStart w:id="131" w:name="_Toc28747"/>
      <w:bookmarkStart w:id="132" w:name="_Toc13184"/>
      <w:bookmarkStart w:id="133" w:name="_Toc10399"/>
    </w:p>
    <w:p>
      <w:pPr>
        <w:pStyle w:val="26"/>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6"/>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孙逸仙纪念医院深汕中心医院***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的采购</w:t>
      </w:r>
      <w:r>
        <w:rPr>
          <w:rFonts w:hint="eastAsia" w:ascii="仿宋" w:hAnsi="仿宋" w:eastAsia="仿宋" w:cs="仿宋"/>
          <w:color w:val="auto"/>
          <w:sz w:val="24"/>
          <w:highlight w:val="none"/>
          <w:lang w:val="en-US"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31"/>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7"/>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加盖供应商公司公章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MWE1NzVlZDE5NGE5ZmFlOTcwNDc0MWEzYzE2NzkifQ=="/>
  </w:docVars>
  <w:rsids>
    <w:rsidRoot w:val="00000000"/>
    <w:rsid w:val="00E53372"/>
    <w:rsid w:val="03A441BF"/>
    <w:rsid w:val="0EBB60DC"/>
    <w:rsid w:val="22447A05"/>
    <w:rsid w:val="37900D6A"/>
    <w:rsid w:val="46BB6136"/>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3"/>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qFormat/>
    <w:uiPriority w:val="1"/>
  </w:style>
  <w:style w:type="table" w:default="1" w:styleId="14">
    <w:name w:val="Normal Table"/>
    <w:autoRedefine/>
    <w:qFormat/>
    <w:uiPriority w:val="99"/>
    <w:tblPr>
      <w:tblCellMar>
        <w:top w:w="0" w:type="dxa"/>
        <w:left w:w="108" w:type="dxa"/>
        <w:bottom w:w="0" w:type="dxa"/>
        <w:right w:w="108" w:type="dxa"/>
      </w:tblCellMar>
    </w:tblPr>
  </w:style>
  <w:style w:type="paragraph" w:styleId="4">
    <w:name w:val="Normal Indent"/>
    <w:basedOn w:val="1"/>
    <w:link w:val="24"/>
    <w:autoRedefine/>
    <w:qFormat/>
    <w:uiPriority w:val="0"/>
    <w:pPr>
      <w:ind w:firstLine="420"/>
    </w:pPr>
  </w:style>
  <w:style w:type="paragraph" w:styleId="5">
    <w:name w:val="annotation text"/>
    <w:basedOn w:val="1"/>
    <w:autoRedefine/>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6">
    <w:name w:val="Body Text"/>
    <w:basedOn w:val="1"/>
    <w:autoRedefine/>
    <w:qFormat/>
    <w:uiPriority w:val="0"/>
    <w:rPr>
      <w:sz w:val="24"/>
    </w:rPr>
  </w:style>
  <w:style w:type="paragraph" w:styleId="7">
    <w:name w:val="List Bullet 2"/>
    <w:basedOn w:val="1"/>
    <w:autoRedefine/>
    <w:qFormat/>
    <w:uiPriority w:val="99"/>
    <w:pPr>
      <w:numPr>
        <w:ilvl w:val="0"/>
        <w:numId w:val="1"/>
      </w:numPr>
    </w:pPr>
  </w:style>
  <w:style w:type="paragraph" w:styleId="8">
    <w:name w:val="Plain Text"/>
    <w:basedOn w:val="1"/>
    <w:link w:val="25"/>
    <w:autoRedefine/>
    <w:qFormat/>
    <w:uiPriority w:val="0"/>
    <w:rPr>
      <w:rFonts w:ascii="宋体" w:hAnsi="Courier New" w:cs="Courier New"/>
      <w:szCs w:val="21"/>
    </w:rPr>
  </w:style>
  <w:style w:type="paragraph" w:styleId="9">
    <w:name w:val="Balloon Text"/>
    <w:basedOn w:val="1"/>
    <w:link w:val="29"/>
    <w:autoRedefine/>
    <w:qFormat/>
    <w:uiPriority w:val="99"/>
    <w:rPr>
      <w:sz w:val="18"/>
      <w:szCs w:val="18"/>
    </w:rPr>
  </w:style>
  <w:style w:type="paragraph" w:styleId="10">
    <w:name w:val="footer"/>
    <w:basedOn w:val="1"/>
    <w:link w:val="22"/>
    <w:autoRedefine/>
    <w:qFormat/>
    <w:uiPriority w:val="99"/>
    <w:pPr>
      <w:tabs>
        <w:tab w:val="center" w:pos="4153"/>
        <w:tab w:val="right" w:pos="8306"/>
      </w:tabs>
      <w:snapToGrid w:val="0"/>
      <w:jc w:val="left"/>
    </w:pPr>
    <w:rPr>
      <w:sz w:val="18"/>
      <w:szCs w:val="18"/>
    </w:rPr>
  </w:style>
  <w:style w:type="paragraph" w:styleId="11">
    <w:name w:val="header"/>
    <w:basedOn w:val="1"/>
    <w:link w:val="21"/>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rPr>
  </w:style>
  <w:style w:type="character" w:styleId="16">
    <w:name w:val="page number"/>
    <w:basedOn w:val="15"/>
    <w:qFormat/>
    <w:uiPriority w:val="0"/>
    <w:rPr>
      <w:rFonts w:eastAsia="宋体"/>
      <w:kern w:val="2"/>
      <w:sz w:val="24"/>
      <w:szCs w:val="24"/>
      <w:lang w:val="en-US" w:eastAsia="zh-CN" w:bidi="ar-SA"/>
    </w:rPr>
  </w:style>
  <w:style w:type="character" w:styleId="17">
    <w:name w:val="Hyperlink"/>
    <w:basedOn w:val="15"/>
    <w:autoRedefine/>
    <w:qFormat/>
    <w:uiPriority w:val="99"/>
    <w:rPr>
      <w:color w:val="0000FF"/>
      <w:u w:val="single"/>
    </w:rPr>
  </w:style>
  <w:style w:type="paragraph" w:customStyle="1" w:styleId="18">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5"/>
    <w:link w:val="11"/>
    <w:autoRedefine/>
    <w:qFormat/>
    <w:uiPriority w:val="99"/>
    <w:rPr>
      <w:sz w:val="18"/>
      <w:szCs w:val="18"/>
    </w:rPr>
  </w:style>
  <w:style w:type="character" w:customStyle="1" w:styleId="22">
    <w:name w:val="页脚 Char"/>
    <w:basedOn w:val="15"/>
    <w:link w:val="10"/>
    <w:autoRedefine/>
    <w:qFormat/>
    <w:uiPriority w:val="99"/>
    <w:rPr>
      <w:sz w:val="18"/>
      <w:szCs w:val="18"/>
    </w:rPr>
  </w:style>
  <w:style w:type="character" w:customStyle="1" w:styleId="23">
    <w:name w:val="标题 2 Char"/>
    <w:basedOn w:val="15"/>
    <w:link w:val="3"/>
    <w:autoRedefine/>
    <w:qFormat/>
    <w:uiPriority w:val="0"/>
    <w:rPr>
      <w:rFonts w:ascii="Arial" w:hAnsi="Arial" w:eastAsia="黑体" w:cs="Times New Roman"/>
      <w:b/>
      <w:bCs/>
      <w:sz w:val="32"/>
      <w:szCs w:val="32"/>
    </w:rPr>
  </w:style>
  <w:style w:type="character" w:customStyle="1" w:styleId="24">
    <w:name w:val="正文缩进 Char"/>
    <w:link w:val="4"/>
    <w:autoRedefine/>
    <w:qFormat/>
    <w:uiPriority w:val="0"/>
    <w:rPr>
      <w:rFonts w:ascii="Times New Roman" w:hAnsi="Times New Roman" w:eastAsia="宋体" w:cs="Times New Roman"/>
      <w:szCs w:val="24"/>
    </w:rPr>
  </w:style>
  <w:style w:type="character" w:customStyle="1" w:styleId="25">
    <w:name w:val="纯文本 Char"/>
    <w:basedOn w:val="15"/>
    <w:link w:val="8"/>
    <w:autoRedefine/>
    <w:qFormat/>
    <w:uiPriority w:val="0"/>
    <w:rPr>
      <w:rFonts w:ascii="宋体" w:hAnsi="Courier New" w:eastAsia="宋体" w:cs="Courier New"/>
      <w:szCs w:val="21"/>
    </w:rPr>
  </w:style>
  <w:style w:type="paragraph" w:styleId="26">
    <w:name w:val="List Paragraph"/>
    <w:basedOn w:val="1"/>
    <w:autoRedefine/>
    <w:qFormat/>
    <w:uiPriority w:val="34"/>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character" w:customStyle="1" w:styleId="29">
    <w:name w:val="批注框文本 Char"/>
    <w:basedOn w:val="15"/>
    <w:link w:val="9"/>
    <w:autoRedefine/>
    <w:qFormat/>
    <w:uiPriority w:val="99"/>
    <w:rPr>
      <w:rFonts w:ascii="Times New Roman" w:hAnsi="Times New Roman" w:eastAsia="宋体" w:cs="Times New Roman"/>
      <w:sz w:val="18"/>
      <w:szCs w:val="18"/>
    </w:rPr>
  </w:style>
  <w:style w:type="paragraph" w:customStyle="1" w:styleId="30">
    <w:name w:val="WPSOffice手动目录 1"/>
    <w:autoRedefine/>
    <w:qFormat/>
    <w:uiPriority w:val="0"/>
    <w:rPr>
      <w:rFonts w:ascii="Calibri" w:hAnsi="Calibri" w:eastAsia="宋体" w:cs="宋体"/>
      <w:lang w:val="en-US" w:eastAsia="zh-CN" w:bidi="ar-SA"/>
    </w:rPr>
  </w:style>
  <w:style w:type="paragraph" w:customStyle="1" w:styleId="31">
    <w:name w:val="正文缩进1"/>
    <w:basedOn w:val="1"/>
    <w:autoRedefine/>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1960</Words>
  <Characters>2074</Characters>
  <Paragraphs>196</Paragraphs>
  <TotalTime>1</TotalTime>
  <ScaleCrop>false</ScaleCrop>
  <LinksUpToDate>false</LinksUpToDate>
  <CharactersWithSpaces>2198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WK</cp:lastModifiedBy>
  <cp:lastPrinted>2022-08-23T03:15:00Z</cp:lastPrinted>
  <dcterms:modified xsi:type="dcterms:W3CDTF">2024-04-10T06:53:47Z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166C090F5F594C7E87577E737B94B29F</vt:lpwstr>
  </property>
</Properties>
</file>