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964"/>
        <w:jc w:val="center"/>
        <w:rPr>
          <w:rFonts w:ascii="仿宋" w:hAnsi="仿宋" w:eastAsia="仿宋"/>
          <w:b/>
          <w:sz w:val="48"/>
          <w:szCs w:val="48"/>
        </w:rPr>
      </w:pPr>
      <w:r>
        <w:rPr>
          <w:rFonts w:hint="eastAsia" w:ascii="仿宋" w:hAnsi="仿宋" w:eastAsia="仿宋"/>
          <w:b/>
          <w:sz w:val="48"/>
          <w:szCs w:val="48"/>
        </w:rPr>
        <w:t>中山大学孙逸仙纪念医院深汕中心医院</w:t>
      </w:r>
    </w:p>
    <w:p>
      <w:pPr>
        <w:pStyle w:val="26"/>
        <w:ind w:firstLine="964"/>
        <w:jc w:val="center"/>
        <w:rPr>
          <w:rFonts w:ascii="仿宋" w:hAnsi="仿宋" w:eastAsia="仿宋"/>
          <w:b/>
          <w:sz w:val="48"/>
          <w:szCs w:val="48"/>
        </w:rPr>
      </w:pPr>
      <w:r>
        <w:rPr>
          <w:rFonts w:hint="eastAsia" w:ascii="仿宋" w:hAnsi="仿宋" w:eastAsia="仿宋"/>
          <w:b/>
          <w:sz w:val="48"/>
          <w:szCs w:val="48"/>
          <w:lang w:val="en-US" w:eastAsia="zh-CN"/>
        </w:rPr>
        <w:t>硬件</w:t>
      </w:r>
      <w:r>
        <w:rPr>
          <w:rFonts w:hint="eastAsia" w:ascii="仿宋" w:hAnsi="仿宋" w:eastAsia="仿宋"/>
          <w:b/>
          <w:sz w:val="48"/>
          <w:szCs w:val="48"/>
        </w:rPr>
        <w:t>维护项目</w:t>
      </w:r>
    </w:p>
    <w:p>
      <w:pPr>
        <w:pStyle w:val="15"/>
        <w:ind w:firstLine="0" w:firstLineChars="0"/>
        <w:rPr>
          <w:rFonts w:ascii="仿宋" w:hAnsi="仿宋" w:eastAsia="仿宋" w:cs="仿宋"/>
          <w:b/>
          <w:bCs/>
          <w:sz w:val="48"/>
          <w:szCs w:val="48"/>
        </w:rPr>
      </w:pPr>
    </w:p>
    <w:p>
      <w:pPr>
        <w:pStyle w:val="15"/>
        <w:ind w:firstLine="0" w:firstLineChars="0"/>
        <w:rPr>
          <w:rFonts w:ascii="仿宋" w:hAnsi="仿宋" w:eastAsia="仿宋" w:cs="仿宋"/>
          <w:b/>
          <w:bCs/>
          <w:sz w:val="48"/>
          <w:szCs w:val="48"/>
        </w:rPr>
      </w:pPr>
    </w:p>
    <w:p>
      <w:pPr>
        <w:pStyle w:val="20"/>
        <w:spacing w:line="96" w:lineRule="auto"/>
        <w:jc w:val="center"/>
        <w:rPr>
          <w:rFonts w:hint="default" w:cs="仿宋"/>
          <w:b/>
          <w:bCs/>
          <w:sz w:val="48"/>
          <w:szCs w:val="48"/>
        </w:rPr>
      </w:pPr>
      <w:r>
        <w:rPr>
          <w:rFonts w:cs="仿宋"/>
          <w:b/>
          <w:bCs/>
          <w:sz w:val="48"/>
          <w:szCs w:val="48"/>
        </w:rPr>
        <w:t>用</w:t>
      </w:r>
    </w:p>
    <w:p>
      <w:pPr>
        <w:pStyle w:val="20"/>
        <w:spacing w:line="96" w:lineRule="auto"/>
        <w:jc w:val="center"/>
        <w:rPr>
          <w:rFonts w:hint="default" w:cs="仿宋"/>
          <w:b/>
          <w:bCs/>
          <w:sz w:val="48"/>
          <w:szCs w:val="48"/>
        </w:rPr>
      </w:pPr>
    </w:p>
    <w:p>
      <w:pPr>
        <w:pStyle w:val="20"/>
        <w:spacing w:line="96" w:lineRule="auto"/>
        <w:jc w:val="center"/>
        <w:rPr>
          <w:rFonts w:hint="default" w:cs="仿宋"/>
          <w:b/>
          <w:bCs/>
          <w:sz w:val="48"/>
          <w:szCs w:val="48"/>
        </w:rPr>
      </w:pPr>
      <w:r>
        <w:rPr>
          <w:rFonts w:cs="仿宋"/>
          <w:b/>
          <w:bCs/>
          <w:sz w:val="48"/>
          <w:szCs w:val="48"/>
        </w:rPr>
        <w:t>户</w:t>
      </w:r>
    </w:p>
    <w:p>
      <w:pPr>
        <w:pStyle w:val="20"/>
        <w:spacing w:line="96" w:lineRule="auto"/>
        <w:jc w:val="center"/>
        <w:rPr>
          <w:rFonts w:hint="default" w:cs="仿宋"/>
          <w:b/>
          <w:bCs/>
          <w:sz w:val="48"/>
          <w:szCs w:val="48"/>
        </w:rPr>
      </w:pPr>
    </w:p>
    <w:p>
      <w:pPr>
        <w:pStyle w:val="20"/>
        <w:spacing w:line="96" w:lineRule="auto"/>
        <w:jc w:val="center"/>
        <w:rPr>
          <w:rFonts w:hint="default" w:cs="仿宋"/>
          <w:b/>
          <w:bCs/>
          <w:sz w:val="48"/>
          <w:szCs w:val="48"/>
        </w:rPr>
      </w:pPr>
      <w:r>
        <w:rPr>
          <w:rFonts w:cs="仿宋"/>
          <w:b/>
          <w:bCs/>
          <w:sz w:val="48"/>
          <w:szCs w:val="48"/>
        </w:rPr>
        <w:t>需</w:t>
      </w:r>
    </w:p>
    <w:p>
      <w:pPr>
        <w:pStyle w:val="20"/>
        <w:spacing w:line="96" w:lineRule="auto"/>
        <w:jc w:val="center"/>
        <w:rPr>
          <w:rFonts w:hint="default" w:cs="仿宋"/>
          <w:b/>
          <w:bCs/>
          <w:sz w:val="48"/>
          <w:szCs w:val="48"/>
        </w:rPr>
      </w:pPr>
    </w:p>
    <w:p>
      <w:pPr>
        <w:pStyle w:val="20"/>
        <w:spacing w:line="96" w:lineRule="auto"/>
        <w:jc w:val="center"/>
        <w:rPr>
          <w:rFonts w:hint="default" w:cs="仿宋"/>
          <w:b/>
          <w:bCs/>
          <w:sz w:val="48"/>
          <w:szCs w:val="48"/>
        </w:rPr>
      </w:pPr>
      <w:r>
        <w:rPr>
          <w:rFonts w:cs="仿宋"/>
          <w:b/>
          <w:bCs/>
          <w:sz w:val="48"/>
          <w:szCs w:val="48"/>
        </w:rPr>
        <w:t>求</w:t>
      </w:r>
    </w:p>
    <w:p>
      <w:pPr>
        <w:pStyle w:val="20"/>
        <w:spacing w:line="96" w:lineRule="auto"/>
        <w:jc w:val="center"/>
        <w:rPr>
          <w:rFonts w:hint="default" w:cs="仿宋"/>
          <w:b/>
          <w:bCs/>
          <w:sz w:val="48"/>
          <w:szCs w:val="48"/>
        </w:rPr>
      </w:pPr>
    </w:p>
    <w:p>
      <w:pPr>
        <w:pStyle w:val="20"/>
        <w:spacing w:line="96" w:lineRule="auto"/>
        <w:jc w:val="center"/>
        <w:rPr>
          <w:rFonts w:hint="default" w:cs="仿宋"/>
          <w:b/>
          <w:bCs/>
          <w:sz w:val="48"/>
          <w:szCs w:val="48"/>
        </w:rPr>
      </w:pPr>
      <w:r>
        <w:rPr>
          <w:rFonts w:cs="仿宋"/>
          <w:b/>
          <w:bCs/>
          <w:sz w:val="48"/>
          <w:szCs w:val="48"/>
        </w:rPr>
        <w:t>书</w:t>
      </w:r>
    </w:p>
    <w:p>
      <w:pPr>
        <w:pStyle w:val="20"/>
        <w:jc w:val="both"/>
        <w:rPr>
          <w:rFonts w:hint="default" w:cs="仿宋"/>
          <w:b/>
          <w:bCs/>
          <w:sz w:val="48"/>
          <w:szCs w:val="48"/>
        </w:rPr>
      </w:pPr>
    </w:p>
    <w:p>
      <w:pPr>
        <w:pStyle w:val="15"/>
        <w:ind w:firstLine="0" w:firstLineChars="0"/>
        <w:rPr>
          <w:rFonts w:ascii="仿宋" w:hAnsi="仿宋" w:eastAsia="仿宋" w:cs="仿宋"/>
          <w:b/>
          <w:bCs/>
          <w:sz w:val="48"/>
          <w:szCs w:val="48"/>
        </w:rPr>
      </w:pPr>
    </w:p>
    <w:p>
      <w:pPr>
        <w:pStyle w:val="20"/>
        <w:jc w:val="center"/>
        <w:rPr>
          <w:rFonts w:hint="default" w:cs="仿宋"/>
          <w:b/>
          <w:bCs/>
          <w:spacing w:val="20"/>
          <w:sz w:val="48"/>
          <w:szCs w:val="48"/>
        </w:rPr>
      </w:pPr>
      <w:r>
        <w:rPr>
          <w:rFonts w:cs="仿宋"/>
          <w:b/>
          <w:bCs/>
          <w:spacing w:val="20"/>
          <w:sz w:val="48"/>
          <w:szCs w:val="48"/>
        </w:rPr>
        <w:t>2023年</w:t>
      </w:r>
      <w:r>
        <w:rPr>
          <w:rFonts w:hint="eastAsia" w:cs="仿宋"/>
          <w:b/>
          <w:bCs/>
          <w:spacing w:val="20"/>
          <w:sz w:val="48"/>
          <w:szCs w:val="48"/>
          <w:lang w:val="en-US" w:eastAsia="zh-CN"/>
        </w:rPr>
        <w:t>8</w:t>
      </w:r>
      <w:r>
        <w:rPr>
          <w:rFonts w:cs="仿宋"/>
          <w:b/>
          <w:bCs/>
          <w:spacing w:val="20"/>
          <w:sz w:val="48"/>
          <w:szCs w:val="48"/>
        </w:rPr>
        <w:t>月</w:t>
      </w:r>
    </w:p>
    <w:p>
      <w:pPr>
        <w:pStyle w:val="20"/>
        <w:numPr>
          <w:ilvl w:val="0"/>
          <w:numId w:val="2"/>
        </w:numPr>
        <w:rPr>
          <w:rFonts w:hint="default" w:cs="仿宋"/>
          <w:b/>
          <w:bCs/>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567" w:footer="567" w:gutter="0"/>
          <w:pgNumType w:start="1"/>
          <w:cols w:space="0" w:num="1"/>
          <w:docGrid w:type="lines" w:linePitch="312" w:charSpace="0"/>
        </w:sectPr>
      </w:pPr>
    </w:p>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注：“★”号条款是关键技术参数，一项不符合即导致该</w:t>
      </w:r>
      <w:r>
        <w:rPr>
          <w:rFonts w:hint="eastAsia" w:ascii="宋体" w:hAnsi="宋体" w:eastAsia="宋体" w:cs="宋体"/>
          <w:b/>
          <w:sz w:val="24"/>
          <w:szCs w:val="24"/>
          <w:highlight w:val="none"/>
          <w:lang w:eastAsia="zh-CN"/>
        </w:rPr>
        <w:t>响应</w:t>
      </w:r>
      <w:r>
        <w:rPr>
          <w:rFonts w:hint="eastAsia" w:ascii="宋体" w:hAnsi="宋体" w:eastAsia="宋体" w:cs="宋体"/>
          <w:b/>
          <w:sz w:val="24"/>
          <w:szCs w:val="24"/>
          <w:highlight w:val="none"/>
        </w:rPr>
        <w:t>人</w:t>
      </w:r>
      <w:r>
        <w:rPr>
          <w:rFonts w:hint="eastAsia" w:ascii="宋体" w:hAnsi="宋体" w:eastAsia="宋体" w:cs="宋体"/>
          <w:b/>
          <w:sz w:val="24"/>
          <w:szCs w:val="24"/>
          <w:highlight w:val="none"/>
          <w:lang w:eastAsia="zh-CN"/>
        </w:rPr>
        <w:t>响应</w:t>
      </w:r>
      <w:r>
        <w:rPr>
          <w:rFonts w:hint="eastAsia" w:ascii="宋体" w:hAnsi="宋体" w:eastAsia="宋体" w:cs="宋体"/>
          <w:b/>
          <w:sz w:val="24"/>
          <w:szCs w:val="24"/>
          <w:highlight w:val="none"/>
        </w:rPr>
        <w:t>无效。“▲”号条款为评审时的重要技术参数，不作为</w:t>
      </w:r>
      <w:r>
        <w:rPr>
          <w:rFonts w:hint="eastAsia" w:ascii="宋体" w:hAnsi="宋体" w:eastAsia="宋体" w:cs="宋体"/>
          <w:b/>
          <w:sz w:val="24"/>
          <w:szCs w:val="24"/>
          <w:highlight w:val="none"/>
          <w:lang w:eastAsia="zh-CN"/>
        </w:rPr>
        <w:t>响应</w:t>
      </w:r>
      <w:r>
        <w:rPr>
          <w:rFonts w:hint="eastAsia" w:ascii="宋体" w:hAnsi="宋体" w:eastAsia="宋体" w:cs="宋体"/>
          <w:b/>
          <w:sz w:val="24"/>
          <w:szCs w:val="24"/>
          <w:highlight w:val="none"/>
        </w:rPr>
        <w:t>无效条款，</w:t>
      </w:r>
      <w:r>
        <w:rPr>
          <w:rFonts w:hint="eastAsia" w:ascii="宋体" w:hAnsi="宋体" w:eastAsia="宋体" w:cs="宋体"/>
          <w:b/>
          <w:sz w:val="24"/>
          <w:szCs w:val="24"/>
          <w:highlight w:val="none"/>
          <w:lang w:eastAsia="zh-CN"/>
        </w:rPr>
        <w:t>响应</w:t>
      </w:r>
      <w:r>
        <w:rPr>
          <w:rFonts w:hint="eastAsia" w:ascii="宋体" w:hAnsi="宋体" w:eastAsia="宋体" w:cs="宋体"/>
          <w:b/>
          <w:sz w:val="24"/>
          <w:szCs w:val="24"/>
          <w:highlight w:val="none"/>
        </w:rPr>
        <w:t>人需按要求提供证明文件并在</w:t>
      </w:r>
      <w:r>
        <w:rPr>
          <w:rFonts w:hint="eastAsia" w:ascii="宋体" w:hAnsi="宋体" w:eastAsia="宋体" w:cs="宋体"/>
          <w:b/>
          <w:bCs w:val="0"/>
          <w:sz w:val="24"/>
          <w:szCs w:val="24"/>
          <w:highlight w:val="none"/>
          <w:lang w:eastAsia="zh-CN"/>
        </w:rPr>
        <w:t>响应</w:t>
      </w:r>
      <w:r>
        <w:rPr>
          <w:rFonts w:hint="eastAsia" w:ascii="宋体" w:hAnsi="宋体" w:eastAsia="宋体" w:cs="宋体"/>
          <w:b/>
          <w:sz w:val="24"/>
          <w:szCs w:val="24"/>
          <w:highlight w:val="none"/>
        </w:rPr>
        <w:t>文件中标明所在页码。如</w:t>
      </w:r>
      <w:r>
        <w:rPr>
          <w:rFonts w:hint="eastAsia" w:ascii="宋体" w:hAnsi="宋体" w:eastAsia="宋体" w:cs="宋体"/>
          <w:b/>
          <w:bCs w:val="0"/>
          <w:sz w:val="24"/>
          <w:szCs w:val="24"/>
          <w:highlight w:val="none"/>
          <w:lang w:eastAsia="zh-CN"/>
        </w:rPr>
        <w:t>响应</w:t>
      </w:r>
      <w:r>
        <w:rPr>
          <w:rFonts w:hint="eastAsia" w:ascii="宋体" w:hAnsi="宋体" w:eastAsia="宋体" w:cs="宋体"/>
          <w:b/>
          <w:bCs w:val="0"/>
          <w:sz w:val="24"/>
          <w:szCs w:val="24"/>
          <w:highlight w:val="none"/>
        </w:rPr>
        <w:t>人</w:t>
      </w:r>
      <w:r>
        <w:rPr>
          <w:rFonts w:hint="eastAsia" w:ascii="宋体" w:hAnsi="宋体" w:eastAsia="宋体" w:cs="宋体"/>
          <w:b/>
          <w:sz w:val="24"/>
          <w:szCs w:val="24"/>
          <w:highlight w:val="none"/>
        </w:rPr>
        <w:t>对“▲”号条款有负偏离，评委将重点扣分。</w:t>
      </w:r>
    </w:p>
    <w:p>
      <w:pPr>
        <w:pStyle w:val="12"/>
        <w:pageBreakBefore w:val="0"/>
        <w:kinsoku/>
        <w:wordWrap/>
        <w:overflowPunct/>
        <w:topLinePunct w:val="0"/>
        <w:bidi w:val="0"/>
        <w:adjustRightInd w:val="0"/>
        <w:snapToGrid w:val="0"/>
        <w:spacing w:line="360" w:lineRule="auto"/>
        <w:textAlignment w:val="auto"/>
        <w:rPr>
          <w:rFonts w:hint="eastAsia" w:ascii="宋体" w:hAnsi="宋体" w:eastAsia="宋体" w:cs="宋体"/>
          <w:b/>
          <w:sz w:val="24"/>
          <w:szCs w:val="24"/>
          <w:highlight w:val="none"/>
        </w:rPr>
      </w:pPr>
    </w:p>
    <w:p>
      <w:pPr>
        <w:pStyle w:val="4"/>
        <w:pageBreakBefore w:val="0"/>
        <w:kinsoku/>
        <w:wordWrap/>
        <w:overflowPunct/>
        <w:topLinePunct w:val="0"/>
        <w:bidi w:val="0"/>
        <w:adjustRightInd w:val="0"/>
        <w:snapToGrid w:val="0"/>
        <w:spacing w:before="0" w:line="360" w:lineRule="auto"/>
        <w:jc w:val="both"/>
        <w:textAlignment w:val="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一、</w:t>
      </w:r>
      <w:r>
        <w:rPr>
          <w:rStyle w:val="21"/>
          <w:rFonts w:hint="eastAsia" w:ascii="宋体" w:hAnsi="宋体" w:eastAsia="宋体" w:cs="宋体"/>
          <w:sz w:val="24"/>
          <w:szCs w:val="24"/>
          <w:highlight w:val="none"/>
          <w:lang w:val="en-US"/>
        </w:rPr>
        <w:t>项目</w:t>
      </w:r>
      <w:r>
        <w:rPr>
          <w:rStyle w:val="21"/>
          <w:rFonts w:hint="eastAsia" w:ascii="宋体" w:hAnsi="宋体" w:eastAsia="宋体" w:cs="宋体"/>
          <w:sz w:val="24"/>
          <w:szCs w:val="24"/>
          <w:highlight w:val="none"/>
        </w:rPr>
        <w:t>概述</w:t>
      </w:r>
    </w:p>
    <w:p>
      <w:pPr>
        <w:autoSpaceDE w:val="0"/>
        <w:autoSpaceDN w:val="0"/>
        <w:adjustRightInd w:val="0"/>
        <w:snapToGrid w:val="0"/>
        <w:spacing w:line="360" w:lineRule="auto"/>
        <w:ind w:left="0" w:leftChars="0" w:firstLine="480" w:firstLineChars="200"/>
        <w:rPr>
          <w:rFonts w:hint="eastAsia" w:ascii="宋体" w:hAnsi="宋体" w:eastAsia="宋体" w:cs="宋体"/>
          <w:color w:val="000000"/>
          <w:sz w:val="24"/>
          <w:szCs w:val="24"/>
          <w:lang w:val="en-US" w:eastAsia="zh-CN"/>
        </w:rPr>
      </w:pPr>
      <w:bookmarkStart w:id="0" w:name="_Toc29394"/>
      <w:bookmarkStart w:id="1" w:name="_Toc18250"/>
      <w:bookmarkStart w:id="2" w:name="_Toc503255353"/>
      <w:bookmarkStart w:id="3" w:name="_Toc22265"/>
      <w:bookmarkStart w:id="4" w:name="_Toc530088675"/>
      <w:r>
        <w:rPr>
          <w:rFonts w:hint="eastAsia" w:ascii="宋体" w:hAnsi="宋体" w:eastAsia="宋体" w:cs="宋体"/>
          <w:color w:val="000000"/>
          <w:sz w:val="24"/>
          <w:szCs w:val="24"/>
        </w:rPr>
        <w:t>深汕中心医院是由广东省委主导，深圳市政府出资在汕尾市援建的一所大型综合性医院，是深圳市对口援助汕尾市建设的重点项目之一。项目采用“深圳建设、整体移交”的模式，总投资 16 亿元，首期用地面积约 200 亩，设床位 800 张，总建筑面积约 16.5万平方米，二期用地面积约 100 亩，床位增设至少 700 张以上。经过精心筹备布局，医院已于 2021 年 5 月 26 日门诊正式运营，同年 10 月 20 日正式启用住院部。深汕中心医院由中山大学孙逸仙纪念医院负责运营管理，中山大学孙逸仙纪念医院为广东省第二批建设的高水平医院，根据“高水平医院建设”实施方案，医院将在五大方面发力，分别是发展前沿医疗技术、建设高水平科研平台、集聚拔尖医学人才、打造一流医学学科、率先建立现代医院管理制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自深汕中心医院投入使用至今，</w:t>
      </w:r>
      <w:r>
        <w:rPr>
          <w:rFonts w:hint="eastAsia" w:ascii="宋体" w:hAnsi="宋体" w:eastAsia="宋体" w:cs="宋体"/>
          <w:color w:val="000000"/>
          <w:sz w:val="24"/>
          <w:szCs w:val="24"/>
          <w:lang w:val="en-US" w:eastAsia="zh-CN"/>
        </w:rPr>
        <w:t>各项智能化设施设备及系统因缺乏体系化的维护保养，出现了故障频发或故障后处理耗时较长的情况。</w:t>
      </w:r>
    </w:p>
    <w:p>
      <w:pPr>
        <w:autoSpaceDE w:val="0"/>
        <w:autoSpaceDN w:val="0"/>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为了保障系统和设备的平稳运行，满足新形势下对深汕中心医院管理的要求，</w:t>
      </w: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拟采购智能化系统维护</w:t>
      </w:r>
      <w:r>
        <w:rPr>
          <w:rFonts w:hint="eastAsia" w:ascii="宋体" w:hAnsi="宋体" w:eastAsia="宋体" w:cs="宋体"/>
          <w:color w:val="000000"/>
          <w:sz w:val="24"/>
          <w:szCs w:val="24"/>
          <w:highlight w:val="none"/>
        </w:rPr>
        <w:t>服务，包括计算机网络维护服务、综合布线、综合机房维护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网络视频电视、排叫号系统</w:t>
      </w:r>
      <w:r>
        <w:rPr>
          <w:rFonts w:hint="eastAsia" w:ascii="宋体" w:hAnsi="宋体" w:eastAsia="宋体" w:cs="宋体"/>
          <w:color w:val="000000"/>
          <w:sz w:val="24"/>
          <w:szCs w:val="24"/>
          <w:highlight w:val="none"/>
        </w:rPr>
        <w:t>的相关维护。</w:t>
      </w:r>
    </w:p>
    <w:p>
      <w:pPr>
        <w:pStyle w:val="4"/>
        <w:pageBreakBefore w:val="0"/>
        <w:kinsoku/>
        <w:wordWrap/>
        <w:overflowPunct/>
        <w:topLinePunct w:val="0"/>
        <w:bidi w:val="0"/>
        <w:adjustRightInd w:val="0"/>
        <w:snapToGrid w:val="0"/>
        <w:spacing w:before="0" w:line="360" w:lineRule="auto"/>
        <w:jc w:val="both"/>
        <w:textAlignment w:val="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lang w:eastAsia="zh-CN"/>
        </w:rPr>
        <w:t>二、</w:t>
      </w:r>
      <w:r>
        <w:rPr>
          <w:rStyle w:val="21"/>
          <w:rFonts w:hint="eastAsia" w:ascii="宋体" w:hAnsi="宋体" w:eastAsia="宋体" w:cs="宋体"/>
          <w:sz w:val="24"/>
          <w:szCs w:val="24"/>
          <w:highlight w:val="none"/>
        </w:rPr>
        <w:t>项目总体要求</w:t>
      </w:r>
      <w:bookmarkEnd w:id="0"/>
      <w:bookmarkEnd w:id="1"/>
      <w:bookmarkEnd w:id="2"/>
      <w:bookmarkEnd w:id="3"/>
      <w:bookmarkEnd w:id="4"/>
    </w:p>
    <w:p>
      <w:pPr>
        <w:numPr>
          <w:ilvl w:val="0"/>
          <w:numId w:val="0"/>
        </w:numPr>
        <w:autoSpaceDE w:val="0"/>
        <w:autoSpaceDN w:val="0"/>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lang w:eastAsia="zh-CN"/>
        </w:rPr>
        <w:t>本项目服务地理上覆盖</w:t>
      </w:r>
      <w:r>
        <w:rPr>
          <w:rFonts w:hint="eastAsia" w:ascii="宋体" w:hAnsi="宋体" w:cs="宋体"/>
          <w:sz w:val="24"/>
          <w:szCs w:val="24"/>
          <w:highlight w:val="none"/>
          <w:lang w:val="en-US" w:eastAsia="zh-CN"/>
        </w:rPr>
        <w:t>整个医院</w:t>
      </w:r>
      <w:r>
        <w:rPr>
          <w:rFonts w:hint="eastAsia" w:ascii="宋体" w:hAnsi="宋体" w:eastAsia="宋体" w:cs="宋体"/>
          <w:sz w:val="24"/>
          <w:szCs w:val="24"/>
          <w:highlight w:val="none"/>
          <w:lang w:eastAsia="zh-CN"/>
        </w:rPr>
        <w:t>，维护服务</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包括但不限于</w:t>
      </w:r>
      <w:r>
        <w:rPr>
          <w:rFonts w:hint="eastAsia" w:ascii="宋体" w:hAnsi="宋体" w:eastAsia="宋体" w:cs="宋体"/>
          <w:kern w:val="0"/>
          <w:sz w:val="24"/>
          <w:szCs w:val="24"/>
          <w:lang w:val="en-US" w:eastAsia="zh-CN" w:bidi="ar-SA"/>
        </w:rPr>
        <w:t>计算机网络（包含办公设备打印机等桌面设备）：外网、无线AP、办公内网、智能化专网等。包括医院各场所的计算机硬件故障处理、操作系统以及办公软件安装维护升级，打印机、复印机、传真机故障处理及维护等。</w:t>
      </w:r>
    </w:p>
    <w:p>
      <w:pPr>
        <w:numPr>
          <w:ilvl w:val="0"/>
          <w:numId w:val="3"/>
        </w:numPr>
        <w:autoSpaceDE w:val="0"/>
        <w:autoSpaceDN w:val="0"/>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综合布线：包括医院各场所网络线路的日常维护和整理服务、从机房或信息点到办公设备之间的线路维护，包括网络线及水晶头的更换，增设桌面级简单办公点的网络布线等。</w:t>
      </w:r>
    </w:p>
    <w:p>
      <w:pPr>
        <w:numPr>
          <w:ilvl w:val="0"/>
          <w:numId w:val="3"/>
        </w:numPr>
        <w:autoSpaceDE w:val="0"/>
        <w:autoSpaceDN w:val="0"/>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综合机房维护：网络机房设备维护巡检、网络机房环境及网络机房相关系统维护、网络机房维护日志等。</w:t>
      </w:r>
    </w:p>
    <w:p>
      <w:pPr>
        <w:numPr>
          <w:ilvl w:val="0"/>
          <w:numId w:val="3"/>
        </w:numPr>
        <w:autoSpaceDE w:val="0"/>
        <w:autoSpaceDN w:val="0"/>
        <w:adjustRightInd w:val="0"/>
        <w:snapToGrid w:val="0"/>
        <w:spacing w:line="360" w:lineRule="auto"/>
        <w:ind w:firstLine="480" w:firstLineChars="200"/>
        <w:rPr>
          <w:rFonts w:hint="eastAsia" w:ascii="仿宋" w:hAnsi="仿宋" w:eastAsia="仿宋" w:cs="宋体"/>
          <w:b w:val="0"/>
          <w:bCs/>
          <w:sz w:val="24"/>
          <w:szCs w:val="24"/>
          <w:lang w:eastAsia="zh-CN"/>
        </w:rPr>
      </w:pPr>
      <w:r>
        <w:rPr>
          <w:rFonts w:hint="eastAsia" w:ascii="宋体" w:hAnsi="宋体" w:eastAsia="宋体" w:cs="宋体"/>
          <w:b w:val="0"/>
          <w:bCs/>
          <w:sz w:val="24"/>
          <w:szCs w:val="24"/>
        </w:rPr>
        <w:t>排叫号系统：排号系统故障，设备故障维护、线路故障等维护</w:t>
      </w:r>
      <w:r>
        <w:rPr>
          <w:rFonts w:hint="eastAsia" w:ascii="仿宋" w:hAnsi="仿宋" w:eastAsia="仿宋" w:cs="宋体"/>
          <w:b w:val="0"/>
          <w:bCs/>
          <w:sz w:val="24"/>
          <w:szCs w:val="24"/>
          <w:lang w:eastAsia="zh-CN"/>
        </w:rPr>
        <w:t>。</w:t>
      </w:r>
    </w:p>
    <w:p>
      <w:pPr>
        <w:pStyle w:val="22"/>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en-US" w:eastAsia="zh-CN"/>
        </w:rPr>
        <w:t>具体</w:t>
      </w:r>
      <w:r>
        <w:rPr>
          <w:rFonts w:hint="eastAsia" w:ascii="宋体" w:hAnsi="宋体" w:eastAsia="宋体" w:cs="宋体"/>
          <w:sz w:val="24"/>
          <w:szCs w:val="24"/>
        </w:rPr>
        <w:t>维护清单</w:t>
      </w:r>
      <w:r>
        <w:rPr>
          <w:rFonts w:hint="eastAsia" w:ascii="宋体" w:hAnsi="宋体" w:eastAsia="宋体" w:cs="宋体"/>
          <w:sz w:val="24"/>
          <w:szCs w:val="24"/>
          <w:lang w:val="en-US" w:eastAsia="zh-CN"/>
        </w:rPr>
        <w:t>详见附件1《维护设备清单》，详细服务要求见附件2《服务流程要求》。</w:t>
      </w:r>
    </w:p>
    <w:p>
      <w:pPr>
        <w:pStyle w:val="23"/>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（1）响应报价中需包含本需求书中列出的所有工作内容，以及其他的配套工作。</w:t>
      </w:r>
    </w:p>
    <w:p>
      <w:pPr>
        <w:pStyle w:val="23"/>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响应报价必须包含的费用有：人员费用（工资、福利、社保、劳保等）、装备、管理费用、利润、合同包含的所有风险、责任等费用以及项目管理过程中的所有由成交人承担费用的总和以及国家规定的各项税费。</w:t>
      </w:r>
    </w:p>
    <w:p>
      <w:pPr>
        <w:pStyle w:val="23"/>
        <w:pageBreakBefore w:val="0"/>
        <w:tabs>
          <w:tab w:val="left" w:pos="1556"/>
        </w:tabs>
        <w:kinsoku/>
        <w:wordWrap/>
        <w:overflowPunct/>
        <w:topLinePunct w:val="0"/>
        <w:bidi w:val="0"/>
        <w:spacing w:line="360" w:lineRule="auto"/>
        <w:ind w:right="-53"/>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★（3）成交人就设备、</w:t>
      </w:r>
      <w:r>
        <w:rPr>
          <w:rFonts w:hint="eastAsia" w:ascii="宋体" w:hAnsi="宋体" w:eastAsia="宋体" w:cs="宋体"/>
          <w:sz w:val="24"/>
          <w:szCs w:val="24"/>
          <w:highlight w:val="none"/>
          <w:lang w:val="en-US" w:eastAsia="zh-CN"/>
        </w:rPr>
        <w:t>系统软件等</w:t>
      </w:r>
      <w:r>
        <w:rPr>
          <w:rFonts w:hint="eastAsia" w:ascii="宋体" w:hAnsi="宋体" w:eastAsia="宋体" w:cs="宋体"/>
          <w:sz w:val="24"/>
          <w:szCs w:val="24"/>
          <w:highlight w:val="none"/>
          <w:lang w:val="zh-CN"/>
        </w:rPr>
        <w:t>维护服务须安排驻场项目主管及技术工程师服务团队不少于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人。</w:t>
      </w:r>
    </w:p>
    <w:p>
      <w:pPr>
        <w:pStyle w:val="23"/>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b/>
          <w:bCs/>
          <w:sz w:val="24"/>
          <w:szCs w:val="24"/>
          <w:highlight w:val="none"/>
          <w:lang w:val="zh-CN"/>
        </w:rPr>
        <w:t>（4）成交人必须承诺按规定与所有派驻采购人的正式员工签定劳动合同和保密协议，服务团队所有人员薪酬均由成交人支付（需提供承诺函并加盖响应人公章，格式自拟）。</w:t>
      </w:r>
      <w:bookmarkStart w:id="5" w:name="_Toc530088676"/>
      <w:bookmarkStart w:id="6" w:name="_Toc503255354"/>
      <w:bookmarkStart w:id="7" w:name="_Toc11473"/>
      <w:bookmarkStart w:id="8" w:name="_Toc18172"/>
    </w:p>
    <w:p>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w:t>
      </w:r>
      <w:r>
        <w:rPr>
          <w:rFonts w:hint="eastAsia" w:ascii="宋体" w:hAnsi="宋体" w:eastAsia="宋体" w:cs="宋体"/>
          <w:snapToGrid w:val="0"/>
          <w:sz w:val="24"/>
          <w:szCs w:val="24"/>
          <w:highlight w:val="none"/>
        </w:rPr>
        <w:t>本项目维护服务期限为</w:t>
      </w:r>
      <w:r>
        <w:rPr>
          <w:rFonts w:hint="eastAsia" w:ascii="宋体" w:hAnsi="宋体" w:eastAsia="宋体" w:cs="宋体"/>
          <w:b/>
          <w:snapToGrid w:val="0"/>
          <w:sz w:val="24"/>
          <w:szCs w:val="24"/>
          <w:highlight w:val="none"/>
          <w:u w:val="single"/>
        </w:rPr>
        <w:t>签订合同</w:t>
      </w:r>
      <w:r>
        <w:rPr>
          <w:rFonts w:hint="eastAsia" w:ascii="宋体" w:hAnsi="宋体" w:eastAsia="宋体" w:cs="宋体"/>
          <w:b/>
          <w:snapToGrid w:val="0"/>
          <w:sz w:val="24"/>
          <w:szCs w:val="24"/>
          <w:highlight w:val="none"/>
          <w:u w:val="single"/>
          <w:lang w:val="en-US" w:eastAsia="zh-CN"/>
        </w:rPr>
        <w:t>起</w:t>
      </w:r>
      <w:r>
        <w:rPr>
          <w:rFonts w:hint="eastAsia" w:ascii="宋体" w:hAnsi="宋体" w:eastAsia="宋体" w:cs="宋体"/>
          <w:b/>
          <w:snapToGrid w:val="0"/>
          <w:sz w:val="24"/>
          <w:szCs w:val="24"/>
          <w:highlight w:val="none"/>
          <w:u w:val="single"/>
        </w:rPr>
        <w:t>至</w:t>
      </w:r>
      <w:r>
        <w:rPr>
          <w:rFonts w:hint="eastAsia" w:ascii="宋体" w:hAnsi="宋体" w:cs="宋体"/>
          <w:b/>
          <w:snapToGrid w:val="0"/>
          <w:sz w:val="24"/>
          <w:szCs w:val="24"/>
          <w:highlight w:val="none"/>
          <w:u w:val="single"/>
          <w:lang w:val="en-US" w:eastAsia="zh-CN"/>
        </w:rPr>
        <w:t>xx</w:t>
      </w:r>
      <w:r>
        <w:rPr>
          <w:rFonts w:hint="eastAsia" w:ascii="宋体" w:hAnsi="宋体" w:eastAsia="宋体" w:cs="宋体"/>
          <w:b/>
          <w:snapToGrid w:val="0"/>
          <w:sz w:val="24"/>
          <w:szCs w:val="24"/>
          <w:highlight w:val="none"/>
          <w:u w:val="single"/>
        </w:rPr>
        <w:t>年</w:t>
      </w:r>
      <w:r>
        <w:rPr>
          <w:rFonts w:hint="eastAsia" w:ascii="宋体" w:hAnsi="宋体" w:cs="宋体"/>
          <w:b/>
          <w:snapToGrid w:val="0"/>
          <w:sz w:val="24"/>
          <w:szCs w:val="24"/>
          <w:highlight w:val="none"/>
          <w:u w:val="single"/>
          <w:lang w:val="en-US" w:eastAsia="zh-CN"/>
        </w:rPr>
        <w:t>xx</w:t>
      </w:r>
      <w:r>
        <w:rPr>
          <w:rFonts w:hint="eastAsia" w:ascii="宋体" w:hAnsi="宋体" w:eastAsia="宋体" w:cs="宋体"/>
          <w:b/>
          <w:snapToGrid w:val="0"/>
          <w:sz w:val="24"/>
          <w:szCs w:val="24"/>
          <w:highlight w:val="none"/>
          <w:u w:val="single"/>
        </w:rPr>
        <w:t>月</w:t>
      </w:r>
      <w:r>
        <w:rPr>
          <w:rFonts w:hint="eastAsia" w:ascii="宋体" w:hAnsi="宋体" w:cs="宋体"/>
          <w:b/>
          <w:snapToGrid w:val="0"/>
          <w:sz w:val="24"/>
          <w:szCs w:val="24"/>
          <w:highlight w:val="none"/>
          <w:u w:val="single"/>
          <w:lang w:val="en-US" w:eastAsia="zh-CN"/>
        </w:rPr>
        <w:t>xx</w:t>
      </w:r>
      <w:r>
        <w:rPr>
          <w:rFonts w:hint="eastAsia" w:ascii="宋体" w:hAnsi="宋体" w:eastAsia="宋体" w:cs="宋体"/>
          <w:b/>
          <w:snapToGrid w:val="0"/>
          <w:sz w:val="24"/>
          <w:szCs w:val="24"/>
          <w:highlight w:val="none"/>
          <w:u w:val="single"/>
        </w:rPr>
        <w:t>号</w:t>
      </w:r>
      <w:r>
        <w:rPr>
          <w:rFonts w:hint="eastAsia" w:ascii="宋体" w:hAnsi="宋体" w:eastAsia="宋体" w:cs="宋体"/>
          <w:b/>
          <w:snapToGrid w:val="0"/>
          <w:sz w:val="24"/>
          <w:szCs w:val="24"/>
          <w:highlight w:val="none"/>
        </w:rPr>
        <w:t>（包料指原设备已有的配件部分，新增配件不属于</w:t>
      </w:r>
      <w:r>
        <w:rPr>
          <w:rFonts w:hint="eastAsia" w:ascii="宋体" w:hAnsi="宋体" w:eastAsia="宋体" w:cs="宋体"/>
          <w:b/>
          <w:snapToGrid w:val="0"/>
          <w:sz w:val="24"/>
          <w:szCs w:val="24"/>
          <w:highlight w:val="none"/>
          <w:lang w:eastAsia="zh-CN"/>
        </w:rPr>
        <w:t>比选</w:t>
      </w:r>
      <w:r>
        <w:rPr>
          <w:rFonts w:hint="eastAsia" w:ascii="宋体" w:hAnsi="宋体" w:eastAsia="宋体" w:cs="宋体"/>
          <w:b/>
          <w:snapToGrid w:val="0"/>
          <w:sz w:val="24"/>
          <w:szCs w:val="24"/>
          <w:highlight w:val="none"/>
        </w:rPr>
        <w:t>范围）。</w:t>
      </w:r>
    </w:p>
    <w:bookmarkEnd w:id="5"/>
    <w:bookmarkEnd w:id="6"/>
    <w:bookmarkEnd w:id="7"/>
    <w:bookmarkEnd w:id="8"/>
    <w:p>
      <w:pPr>
        <w:pStyle w:val="5"/>
        <w:pageBreakBefore w:val="0"/>
        <w:tabs>
          <w:tab w:val="left" w:pos="851"/>
        </w:tabs>
        <w:kinsoku/>
        <w:wordWrap/>
        <w:overflowPunct/>
        <w:topLinePunct w:val="0"/>
        <w:bidi w:val="0"/>
        <w:spacing w:before="0" w:after="0" w:line="360" w:lineRule="auto"/>
        <w:textAlignment w:val="auto"/>
        <w:rPr>
          <w:rFonts w:hint="eastAsia" w:ascii="宋体" w:hAnsi="宋体" w:eastAsia="宋体" w:cs="宋体"/>
          <w:b w:val="0"/>
          <w:bCs w:val="0"/>
          <w:sz w:val="24"/>
          <w:szCs w:val="24"/>
          <w:highlight w:val="none"/>
          <w:lang w:val="zh-CN"/>
        </w:rPr>
      </w:pPr>
      <w:bookmarkStart w:id="9" w:name="_Toc530088677"/>
      <w:bookmarkStart w:id="10" w:name="_Toc22649"/>
      <w:bookmarkStart w:id="11" w:name="_Toc31738"/>
      <w:bookmarkStart w:id="12" w:name="_Toc503255355"/>
      <w:r>
        <w:rPr>
          <w:rFonts w:hint="eastAsia" w:ascii="宋体" w:hAnsi="宋体" w:eastAsia="宋体" w:cs="宋体"/>
          <w:b w:val="0"/>
          <w:bCs w:val="0"/>
          <w:sz w:val="24"/>
          <w:szCs w:val="24"/>
          <w:highlight w:val="none"/>
          <w:lang w:val="zh-CN"/>
        </w:rPr>
        <w:t>三、项目服务内容</w:t>
      </w:r>
      <w:bookmarkEnd w:id="9"/>
      <w:bookmarkEnd w:id="10"/>
      <w:bookmarkEnd w:id="11"/>
      <w:bookmarkEnd w:id="12"/>
    </w:p>
    <w:p>
      <w:pPr>
        <w:pStyle w:val="6"/>
        <w:pageBreakBefore w:val="0"/>
        <w:kinsoku/>
        <w:wordWrap/>
        <w:overflowPunct/>
        <w:topLinePunct w:val="0"/>
        <w:bidi w:val="0"/>
        <w:spacing w:before="0" w:after="0" w:line="360" w:lineRule="auto"/>
        <w:ind w:firstLine="482"/>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（一）维护服务主要区域：</w:t>
      </w:r>
    </w:p>
    <w:p>
      <w:pPr>
        <w:keepNext w:val="0"/>
        <w:keepLines w:val="0"/>
        <w:widowControl/>
        <w:suppressLineNumbers w:val="0"/>
        <w:jc w:val="left"/>
      </w:pPr>
      <w:r>
        <w:rPr>
          <w:rFonts w:hint="eastAsia" w:ascii="宋体" w:hAnsi="宋体" w:eastAsia="宋体" w:cs="宋体"/>
          <w:sz w:val="24"/>
          <w:szCs w:val="24"/>
          <w:highlight w:val="none"/>
          <w:lang w:val="zh-CN"/>
        </w:rPr>
        <w:t>本项目服务地点：中山大学孙逸仙纪念医院</w:t>
      </w:r>
      <w:r>
        <w:rPr>
          <w:rFonts w:hint="eastAsia" w:ascii="宋体" w:hAnsi="宋体" w:cs="宋体"/>
          <w:sz w:val="24"/>
          <w:szCs w:val="24"/>
          <w:highlight w:val="none"/>
          <w:lang w:val="en-US" w:eastAsia="zh-CN"/>
        </w:rPr>
        <w:t>深汕中心医院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详细如下表： </w:t>
      </w:r>
    </w:p>
    <w:p>
      <w:pPr>
        <w:pStyle w:val="23"/>
        <w:pageBreakBefore w:val="0"/>
        <w:tabs>
          <w:tab w:val="left" w:pos="1556"/>
        </w:tabs>
        <w:kinsoku/>
        <w:wordWrap/>
        <w:overflowPunct/>
        <w:topLinePunct w:val="0"/>
        <w:bidi w:val="0"/>
        <w:spacing w:line="360" w:lineRule="auto"/>
        <w:ind w:left="-105" w:leftChars="-50" w:right="-53" w:firstLine="480" w:firstLineChars="200"/>
        <w:jc w:val="left"/>
        <w:textAlignment w:val="auto"/>
        <w:rPr>
          <w:rFonts w:hint="eastAsia" w:ascii="宋体" w:hAnsi="宋体" w:eastAsia="宋体" w:cs="宋体"/>
          <w:sz w:val="24"/>
          <w:szCs w:val="24"/>
          <w:highlight w:val="none"/>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3655"/>
      </w:tblGrid>
      <w:tr>
        <w:tc>
          <w:tcPr>
            <w:tcW w:w="4254" w:type="dxa"/>
            <w:noWrap w:val="0"/>
            <w:vAlign w:val="top"/>
          </w:tcPr>
          <w:p>
            <w:pPr>
              <w:pStyle w:val="23"/>
              <w:pageBreakBefore w:val="0"/>
              <w:tabs>
                <w:tab w:val="left" w:pos="1556"/>
              </w:tabs>
              <w:kinsoku/>
              <w:wordWrap/>
              <w:overflowPunct/>
              <w:topLinePunct w:val="0"/>
              <w:bidi w:val="0"/>
              <w:spacing w:line="360" w:lineRule="auto"/>
              <w:ind w:left="0" w:leftChars="0" w:right="-53" w:rightChars="0" w:firstLine="0" w:firstLineChars="0"/>
              <w:jc w:val="left"/>
              <w:textAlignment w:val="auto"/>
              <w:rPr>
                <w:rFonts w:hint="default" w:ascii="宋体" w:hAnsi="宋体" w:eastAsia="宋体" w:cs="宋体"/>
                <w:b/>
                <w:bCs/>
                <w:sz w:val="24"/>
                <w:szCs w:val="24"/>
                <w:highlight w:val="yellow"/>
                <w:vertAlign w:val="baseline"/>
                <w:lang w:val="en-US" w:eastAsia="zh-CN"/>
              </w:rPr>
            </w:pPr>
            <w:r>
              <w:rPr>
                <w:rFonts w:hint="eastAsia" w:ascii="宋体" w:hAnsi="宋体" w:eastAsia="宋体" w:cs="宋体"/>
                <w:b/>
                <w:bCs/>
                <w:sz w:val="24"/>
                <w:szCs w:val="24"/>
                <w:highlight w:val="yellow"/>
                <w:vertAlign w:val="baseline"/>
                <w:lang w:val="en-US" w:eastAsia="zh-CN"/>
              </w:rPr>
              <w:t>服务地点</w:t>
            </w:r>
          </w:p>
        </w:tc>
        <w:tc>
          <w:tcPr>
            <w:tcW w:w="3655" w:type="dxa"/>
            <w:noWrap w:val="0"/>
            <w:vAlign w:val="top"/>
          </w:tcPr>
          <w:p>
            <w:pPr>
              <w:pStyle w:val="23"/>
              <w:pageBreakBefore w:val="0"/>
              <w:tabs>
                <w:tab w:val="left" w:pos="1556"/>
              </w:tabs>
              <w:kinsoku/>
              <w:wordWrap/>
              <w:overflowPunct/>
              <w:topLinePunct w:val="0"/>
              <w:bidi w:val="0"/>
              <w:spacing w:line="360" w:lineRule="auto"/>
              <w:ind w:left="0" w:leftChars="0" w:right="-53" w:rightChars="0" w:firstLine="0" w:firstLineChars="0"/>
              <w:jc w:val="left"/>
              <w:textAlignment w:val="auto"/>
              <w:rPr>
                <w:rFonts w:hint="eastAsia" w:ascii="宋体" w:hAnsi="宋体" w:eastAsia="宋体" w:cs="宋体"/>
                <w:b/>
                <w:bCs/>
                <w:sz w:val="24"/>
                <w:szCs w:val="24"/>
                <w:highlight w:val="yellow"/>
                <w:vertAlign w:val="baseline"/>
                <w:lang w:val="zh-CN" w:eastAsia="zh-CN"/>
              </w:rPr>
            </w:pPr>
            <w:r>
              <w:rPr>
                <w:rFonts w:hint="eastAsia" w:ascii="宋体" w:hAnsi="宋体" w:eastAsia="宋体" w:cs="宋体"/>
                <w:b/>
                <w:bCs/>
                <w:sz w:val="24"/>
                <w:szCs w:val="24"/>
                <w:highlight w:val="yellow"/>
                <w:vertAlign w:val="baseline"/>
                <w:lang w:val="en-US" w:eastAsia="zh-CN"/>
              </w:rPr>
              <w:t>具体地址</w:t>
            </w:r>
          </w:p>
        </w:tc>
      </w:tr>
      <w:tr>
        <w:tc>
          <w:tcPr>
            <w:tcW w:w="4254" w:type="dxa"/>
            <w:noWrap w:val="0"/>
            <w:vAlign w:val="top"/>
          </w:tcPr>
          <w:p>
            <w:pPr>
              <w:pStyle w:val="23"/>
              <w:pageBreakBefore w:val="0"/>
              <w:tabs>
                <w:tab w:val="left" w:pos="1556"/>
              </w:tabs>
              <w:kinsoku/>
              <w:wordWrap/>
              <w:overflowPunct/>
              <w:topLinePunct w:val="0"/>
              <w:bidi w:val="0"/>
              <w:spacing w:line="360" w:lineRule="auto"/>
              <w:ind w:left="0" w:leftChars="0" w:right="-53" w:firstLine="0" w:firstLineChars="0"/>
              <w:jc w:val="left"/>
              <w:textAlignment w:val="auto"/>
              <w:rPr>
                <w:rFonts w:hint="eastAsia" w:ascii="宋体" w:hAnsi="宋体" w:eastAsia="宋体" w:cs="宋体"/>
                <w:sz w:val="24"/>
                <w:szCs w:val="24"/>
                <w:highlight w:val="yellow"/>
                <w:vertAlign w:val="baseline"/>
                <w:lang w:val="zh-CN" w:eastAsia="zh-CN"/>
              </w:rPr>
            </w:pPr>
            <w:r>
              <w:rPr>
                <w:rFonts w:hint="eastAsia" w:ascii="宋体" w:hAnsi="宋体" w:eastAsia="宋体" w:cs="宋体"/>
                <w:sz w:val="24"/>
                <w:szCs w:val="24"/>
                <w:highlight w:val="yellow"/>
                <w:lang w:val="en-US" w:eastAsia="zh-CN"/>
              </w:rPr>
              <w:t>中山大学孙逸仙纪念医院深汕中心医院</w:t>
            </w:r>
          </w:p>
        </w:tc>
        <w:tc>
          <w:tcPr>
            <w:tcW w:w="3655" w:type="dxa"/>
            <w:noWrap w:val="0"/>
            <w:vAlign w:val="top"/>
          </w:tcPr>
          <w:p>
            <w:pPr>
              <w:pStyle w:val="23"/>
              <w:pageBreakBefore w:val="0"/>
              <w:tabs>
                <w:tab w:val="left" w:pos="1556"/>
              </w:tabs>
              <w:kinsoku/>
              <w:wordWrap/>
              <w:overflowPunct/>
              <w:topLinePunct w:val="0"/>
              <w:bidi w:val="0"/>
              <w:spacing w:line="360" w:lineRule="auto"/>
              <w:ind w:left="0" w:leftChars="0" w:right="-53" w:firstLine="0" w:firstLineChars="0"/>
              <w:jc w:val="left"/>
              <w:textAlignment w:val="auto"/>
              <w:rPr>
                <w:rFonts w:hint="default" w:ascii="宋体" w:hAnsi="宋体" w:eastAsia="宋体" w:cs="宋体"/>
                <w:sz w:val="24"/>
                <w:szCs w:val="24"/>
                <w:highlight w:val="yellow"/>
                <w:vertAlign w:val="baseline"/>
                <w:lang w:val="en-US" w:eastAsia="zh-CN"/>
              </w:rPr>
            </w:pPr>
            <w:r>
              <w:rPr>
                <w:rFonts w:hint="eastAsia" w:ascii="宋体" w:hAnsi="宋体" w:eastAsia="宋体" w:cs="宋体"/>
                <w:sz w:val="24"/>
                <w:szCs w:val="24"/>
                <w:highlight w:val="yellow"/>
                <w:vertAlign w:val="baseline"/>
                <w:lang w:val="en-US" w:eastAsia="zh-CN"/>
              </w:rPr>
              <w:t>汕尾市城区定家声路1号</w:t>
            </w:r>
          </w:p>
        </w:tc>
      </w:tr>
    </w:tbl>
    <w:p>
      <w:pPr>
        <w:pStyle w:val="23"/>
        <w:pageBreakBefore w:val="0"/>
        <w:tabs>
          <w:tab w:val="left" w:pos="1556"/>
        </w:tabs>
        <w:kinsoku/>
        <w:wordWrap/>
        <w:overflowPunct/>
        <w:topLinePunct w:val="0"/>
        <w:bidi w:val="0"/>
        <w:spacing w:line="360" w:lineRule="auto"/>
        <w:ind w:left="-105" w:leftChars="-50" w:right="-53" w:firstLine="480" w:firstLineChars="200"/>
        <w:jc w:val="left"/>
        <w:textAlignment w:val="auto"/>
        <w:rPr>
          <w:rFonts w:hint="eastAsia" w:ascii="宋体" w:hAnsi="宋体" w:eastAsia="宋体" w:cs="宋体"/>
          <w:sz w:val="24"/>
          <w:szCs w:val="24"/>
          <w:highlight w:val="none"/>
          <w:lang w:val="zh-CN" w:eastAsia="zh-CN"/>
        </w:rPr>
      </w:pPr>
    </w:p>
    <w:p>
      <w:pPr>
        <w:pStyle w:val="6"/>
        <w:pageBreakBefore w:val="0"/>
        <w:kinsoku/>
        <w:wordWrap/>
        <w:overflowPunct/>
        <w:topLinePunct w:val="0"/>
        <w:bidi w:val="0"/>
        <w:spacing w:before="0" w:after="0" w:line="360" w:lineRule="auto"/>
        <w:ind w:firstLine="482"/>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rPr>
        <w:t>★（二）维护服务工作时间</w:t>
      </w:r>
      <w:r>
        <w:rPr>
          <w:rFonts w:hint="eastAsia" w:ascii="宋体" w:hAnsi="宋体" w:cs="宋体"/>
          <w:b w:val="0"/>
          <w:bCs w:val="0"/>
          <w:sz w:val="24"/>
          <w:szCs w:val="24"/>
          <w:highlight w:val="none"/>
          <w:lang w:val="en-US" w:eastAsia="zh-CN"/>
        </w:rPr>
        <w:t>及人员</w:t>
      </w:r>
    </w:p>
    <w:p>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设置</w:t>
      </w:r>
      <w:r>
        <w:rPr>
          <w:rFonts w:hint="eastAsia" w:ascii="宋体" w:hAnsi="宋体" w:eastAsia="宋体" w:cs="宋体"/>
          <w:sz w:val="24"/>
          <w:szCs w:val="24"/>
          <w:lang w:val="zh-CN" w:eastAsia="zh-CN"/>
        </w:rPr>
        <w:t>专业的</w:t>
      </w:r>
      <w:r>
        <w:rPr>
          <w:rFonts w:hint="eastAsia" w:ascii="宋体" w:hAnsi="宋体" w:eastAsia="宋体" w:cs="宋体"/>
          <w:sz w:val="24"/>
          <w:szCs w:val="24"/>
          <w:lang w:val="en-US" w:eastAsia="zh-CN"/>
        </w:rPr>
        <w:t>项目经理和</w:t>
      </w:r>
      <w:r>
        <w:rPr>
          <w:rFonts w:hint="eastAsia" w:ascii="宋体" w:hAnsi="宋体" w:eastAsia="宋体" w:cs="宋体"/>
          <w:sz w:val="24"/>
          <w:szCs w:val="24"/>
          <w:lang w:val="zh-CN" w:eastAsia="zh-CN"/>
        </w:rPr>
        <w:t>运维服务团队，</w:t>
      </w:r>
      <w:r>
        <w:rPr>
          <w:rFonts w:hint="eastAsia" w:ascii="宋体" w:hAnsi="宋体" w:cs="宋体"/>
          <w:sz w:val="24"/>
          <w:szCs w:val="24"/>
          <w:lang w:val="en-US" w:eastAsia="zh-CN"/>
        </w:rPr>
        <w:t>起码</w:t>
      </w:r>
      <w:r>
        <w:rPr>
          <w:rFonts w:hint="eastAsia" w:ascii="宋体" w:hAnsi="宋体" w:eastAsia="宋体" w:cs="宋体"/>
          <w:color w:val="auto"/>
          <w:kern w:val="2"/>
          <w:sz w:val="24"/>
          <w:szCs w:val="24"/>
          <w:lang w:val="en-US" w:eastAsia="zh-CN" w:bidi="ar-SA"/>
        </w:rPr>
        <w:t>包括1个项目经理、</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个驻点运维工程师。</w:t>
      </w:r>
      <w:r>
        <w:rPr>
          <w:rFonts w:hint="eastAsia" w:ascii="宋体" w:hAnsi="宋体" w:eastAsia="宋体" w:cs="宋体"/>
          <w:sz w:val="24"/>
          <w:szCs w:val="24"/>
          <w:lang w:val="zh-CN" w:eastAsia="zh-CN"/>
        </w:rPr>
        <w:t>采用驻点服务方式，提供一个7×24小时运维服务热线电话、7×24小时的驻场运维服务。对服务维护范围内的设备提供至少每月一次的系统巡检，提交相关的检查记录报告。</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1.项目经理</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面负责本项目的日常管理工作，包括与院方沟通、驻点维护人员的管理、项目紧急事件的现场支持、设备定期巡检工作、项目文档建设管理、二线支持人员的申请等。驻点服务主管同时作为本项目的机动人员，根据运维实施的具体情况，随时支援（或调配）驻点工程师和公司其他技术力量的运维工作。</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2.驻点运维工程师</w:t>
      </w:r>
    </w:p>
    <w:p>
      <w:pPr>
        <w:pStyle w:val="24"/>
        <w:pageBreakBefore w:val="0"/>
        <w:numPr>
          <w:ilvl w:val="0"/>
          <w:numId w:val="4"/>
        </w:numPr>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sz w:val="24"/>
          <w:szCs w:val="24"/>
          <w:lang w:val="en-US" w:eastAsia="zh-CN"/>
        </w:rPr>
        <w:t>负责各系统运维技术支持，作为直接操作人，保证按运维要求完成本小组的维护工作</w:t>
      </w:r>
    </w:p>
    <w:p>
      <w:pPr>
        <w:pStyle w:val="24"/>
        <w:pageBreakBefore w:val="0"/>
        <w:numPr>
          <w:ilvl w:val="0"/>
          <w:numId w:val="4"/>
        </w:numPr>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如现场科室另有安排，驻守时间可临时变更。</w:t>
      </w:r>
    </w:p>
    <w:p>
      <w:pPr>
        <w:pageBreakBefore w:val="0"/>
        <w:widowControl/>
        <w:numPr>
          <w:ilvl w:val="0"/>
          <w:numId w:val="5"/>
        </w:numPr>
        <w:kinsoku/>
        <w:wordWrap/>
        <w:overflowPunct/>
        <w:topLinePunct w:val="0"/>
        <w:bidi w:val="0"/>
        <w:adjustRightInd w:val="0"/>
        <w:snapToGrid w:val="0"/>
        <w:spacing w:line="360" w:lineRule="auto"/>
        <w:ind w:left="425" w:leftChars="0" w:hanging="425" w:firstLineChars="0"/>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在院内</w:t>
      </w:r>
      <w:r>
        <w:rPr>
          <w:rFonts w:hint="eastAsia" w:ascii="宋体" w:hAnsi="宋体" w:eastAsia="宋体" w:cs="宋体"/>
          <w:sz w:val="24"/>
          <w:szCs w:val="24"/>
          <w:highlight w:val="none"/>
          <w:lang w:val="zh-CN"/>
        </w:rPr>
        <w:t>服务商设置打卡机或打卡软件作为考勤系统，驻守人员上、下班均应打卡，由采购人作为考勤系统管理员进行监督；</w:t>
      </w:r>
    </w:p>
    <w:p>
      <w:pPr>
        <w:pageBreakBefore w:val="0"/>
        <w:widowControl/>
        <w:numPr>
          <w:ilvl w:val="0"/>
          <w:numId w:val="5"/>
        </w:numPr>
        <w:kinsoku/>
        <w:wordWrap/>
        <w:overflowPunct/>
        <w:topLinePunct w:val="0"/>
        <w:bidi w:val="0"/>
        <w:adjustRightInd w:val="0"/>
        <w:snapToGrid w:val="0"/>
        <w:spacing w:line="360" w:lineRule="auto"/>
        <w:ind w:left="425" w:leftChars="0" w:hanging="425" w:firstLine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工作日外时间和节假日，服务团队中应安排</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rPr>
        <w:t>名维护人员轮值，必要时分别负责</w:t>
      </w:r>
      <w:r>
        <w:rPr>
          <w:rFonts w:hint="eastAsia" w:ascii="宋体" w:hAnsi="宋体" w:cs="宋体"/>
          <w:sz w:val="24"/>
          <w:szCs w:val="24"/>
          <w:highlight w:val="none"/>
          <w:lang w:val="en-US" w:eastAsia="zh-CN"/>
        </w:rPr>
        <w:t>院内</w:t>
      </w:r>
      <w:r>
        <w:rPr>
          <w:rFonts w:hint="eastAsia" w:ascii="宋体" w:hAnsi="宋体" w:eastAsia="宋体" w:cs="宋体"/>
          <w:sz w:val="24"/>
          <w:szCs w:val="24"/>
          <w:highlight w:val="none"/>
          <w:lang w:val="zh-CN"/>
        </w:rPr>
        <w:t>的紧急故障处理。</w:t>
      </w:r>
      <w:r>
        <w:rPr>
          <w:rFonts w:hint="eastAsia" w:ascii="宋体" w:hAnsi="宋体" w:eastAsia="宋体" w:cs="宋体"/>
          <w:sz w:val="24"/>
          <w:szCs w:val="24"/>
          <w:highlight w:val="none"/>
          <w:lang w:val="en-US" w:eastAsia="zh-CN"/>
        </w:rPr>
        <w:t>轮值</w:t>
      </w:r>
      <w:r>
        <w:rPr>
          <w:rFonts w:hint="eastAsia" w:ascii="宋体" w:hAnsi="宋体" w:eastAsia="宋体" w:cs="宋体"/>
          <w:sz w:val="24"/>
          <w:szCs w:val="24"/>
          <w:highlight w:val="none"/>
          <w:lang w:val="zh-CN"/>
        </w:rPr>
        <w:t>人员不能离开</w:t>
      </w:r>
      <w:r>
        <w:rPr>
          <w:rFonts w:hint="eastAsia" w:ascii="宋体" w:hAnsi="宋体" w:cs="宋体"/>
          <w:sz w:val="24"/>
          <w:szCs w:val="24"/>
          <w:highlight w:val="none"/>
          <w:lang w:val="en-US" w:eastAsia="zh-CN"/>
        </w:rPr>
        <w:t>汕尾</w:t>
      </w:r>
      <w:r>
        <w:rPr>
          <w:rFonts w:hint="eastAsia" w:ascii="宋体" w:hAnsi="宋体" w:eastAsia="宋体" w:cs="宋体"/>
          <w:sz w:val="24"/>
          <w:szCs w:val="24"/>
          <w:highlight w:val="none"/>
          <w:lang w:val="zh-CN"/>
        </w:rPr>
        <w:t>，24小时开通手机。场外</w:t>
      </w:r>
      <w:r>
        <w:rPr>
          <w:rFonts w:hint="eastAsia" w:ascii="宋体" w:hAnsi="宋体" w:eastAsia="宋体" w:cs="宋体"/>
          <w:sz w:val="24"/>
          <w:szCs w:val="24"/>
          <w:highlight w:val="none"/>
          <w:lang w:val="en-US" w:eastAsia="zh-CN"/>
        </w:rPr>
        <w:t>轮值</w:t>
      </w:r>
      <w:r>
        <w:rPr>
          <w:rFonts w:hint="eastAsia" w:ascii="宋体" w:hAnsi="宋体" w:eastAsia="宋体" w:cs="宋体"/>
          <w:sz w:val="24"/>
          <w:szCs w:val="24"/>
          <w:highlight w:val="none"/>
          <w:lang w:val="zh-CN"/>
        </w:rPr>
        <w:t>人员须为能够独立解决问题的工作日驻守现场人员。</w:t>
      </w:r>
      <w:r>
        <w:rPr>
          <w:rFonts w:hint="eastAsia" w:ascii="宋体" w:hAnsi="宋体" w:eastAsia="宋体" w:cs="宋体"/>
          <w:sz w:val="24"/>
          <w:szCs w:val="24"/>
          <w:highlight w:val="none"/>
          <w:lang w:val="en-US" w:eastAsia="zh-CN"/>
        </w:rPr>
        <w:t>发生需要到达现场才能处理的故障时，</w:t>
      </w:r>
      <w:r>
        <w:rPr>
          <w:rFonts w:hint="eastAsia" w:ascii="宋体" w:hAnsi="宋体" w:eastAsia="宋体" w:cs="宋体"/>
          <w:sz w:val="24"/>
          <w:szCs w:val="24"/>
          <w:highlight w:val="none"/>
          <w:lang w:val="zh-CN"/>
        </w:rPr>
        <w:t>轮值维护人员须2小时以内到达</w:t>
      </w:r>
      <w:r>
        <w:rPr>
          <w:rFonts w:hint="eastAsia" w:ascii="宋体" w:hAnsi="宋体" w:eastAsia="宋体" w:cs="宋体"/>
          <w:sz w:val="24"/>
          <w:szCs w:val="24"/>
          <w:highlight w:val="none"/>
          <w:lang w:val="en-US" w:eastAsia="zh-CN"/>
        </w:rPr>
        <w:t>现场</w:t>
      </w:r>
      <w:r>
        <w:rPr>
          <w:rFonts w:hint="eastAsia" w:ascii="宋体" w:hAnsi="宋体" w:eastAsia="宋体" w:cs="宋体"/>
          <w:sz w:val="24"/>
          <w:szCs w:val="24"/>
          <w:highlight w:val="none"/>
          <w:lang w:val="zh-CN"/>
        </w:rPr>
        <w:t>；</w:t>
      </w:r>
    </w:p>
    <w:p>
      <w:pPr>
        <w:pageBreakBefore w:val="0"/>
        <w:widowControl/>
        <w:numPr>
          <w:ilvl w:val="0"/>
          <w:numId w:val="5"/>
        </w:numPr>
        <w:kinsoku/>
        <w:wordWrap/>
        <w:overflowPunct/>
        <w:topLinePunct w:val="0"/>
        <w:bidi w:val="0"/>
        <w:adjustRightInd w:val="0"/>
        <w:snapToGrid w:val="0"/>
        <w:spacing w:line="360" w:lineRule="auto"/>
        <w:ind w:left="425" w:leftChars="0" w:hanging="425" w:firstLine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根据采购人的需求和实际情况增派人手、增加驻守时间。真正做到急采购人所急、快速高效地解决问题。</w:t>
      </w:r>
      <w:r>
        <w:rPr>
          <w:rFonts w:hint="eastAsia" w:ascii="宋体" w:hAnsi="宋体" w:eastAsia="宋体" w:cs="宋体"/>
          <w:kern w:val="2"/>
          <w:sz w:val="24"/>
          <w:szCs w:val="24"/>
          <w:highlight w:val="none"/>
          <w:lang w:val="zh-CN"/>
        </w:rPr>
        <w:t>费用不再另行增加。</w:t>
      </w:r>
    </w:p>
    <w:p>
      <w:pPr>
        <w:pStyle w:val="6"/>
        <w:pageBreakBefore w:val="0"/>
        <w:kinsoku/>
        <w:wordWrap/>
        <w:overflowPunct/>
        <w:topLinePunct w:val="0"/>
        <w:bidi w:val="0"/>
        <w:spacing w:before="0" w:after="0" w:line="360" w:lineRule="auto"/>
        <w:ind w:firstLine="482"/>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rPr>
        <w:t>（三）维护服务范围</w:t>
      </w:r>
      <w:r>
        <w:rPr>
          <w:rFonts w:hint="eastAsia" w:ascii="宋体" w:hAnsi="宋体" w:eastAsia="宋体" w:cs="宋体"/>
          <w:b w:val="0"/>
          <w:bCs w:val="0"/>
          <w:sz w:val="24"/>
          <w:szCs w:val="24"/>
          <w:highlight w:val="none"/>
          <w:lang w:val="en-US" w:eastAsia="zh-CN"/>
        </w:rPr>
        <w:t xml:space="preserve">   </w:t>
      </w:r>
    </w:p>
    <w:p>
      <w:pPr>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1、维护设备的梗概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1）目前设备数量说明</w:t>
      </w:r>
    </w:p>
    <w:p>
      <w:pPr>
        <w:pStyle w:val="25"/>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（1）计算机数量大概</w:t>
      </w:r>
      <w:r>
        <w:rPr>
          <w:rFonts w:hint="eastAsia" w:ascii="宋体" w:hAnsi="宋体" w:cs="宋体"/>
          <w:kern w:val="2"/>
          <w:sz w:val="24"/>
          <w:szCs w:val="24"/>
          <w:highlight w:val="none"/>
          <w:lang w:val="en-US" w:eastAsia="zh-CN"/>
        </w:rPr>
        <w:t>20</w:t>
      </w:r>
      <w:r>
        <w:rPr>
          <w:rFonts w:hint="eastAsia" w:ascii="宋体" w:hAnsi="宋体" w:eastAsia="宋体" w:cs="宋体"/>
          <w:kern w:val="2"/>
          <w:sz w:val="24"/>
          <w:szCs w:val="24"/>
          <w:highlight w:val="none"/>
          <w:lang w:val="zh-CN"/>
        </w:rPr>
        <w:t>00台。</w:t>
      </w:r>
    </w:p>
    <w:p>
      <w:pPr>
        <w:pStyle w:val="25"/>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（2）打印机数量大概</w:t>
      </w:r>
      <w:r>
        <w:rPr>
          <w:rFonts w:hint="eastAsia" w:ascii="宋体" w:hAnsi="宋体" w:cs="宋体"/>
          <w:kern w:val="2"/>
          <w:sz w:val="24"/>
          <w:szCs w:val="24"/>
          <w:highlight w:val="none"/>
          <w:lang w:val="en-US" w:eastAsia="zh-CN"/>
        </w:rPr>
        <w:t>12</w:t>
      </w:r>
      <w:r>
        <w:rPr>
          <w:rFonts w:hint="eastAsia" w:ascii="宋体" w:hAnsi="宋体" w:eastAsia="宋体" w:cs="宋体"/>
          <w:kern w:val="2"/>
          <w:sz w:val="24"/>
          <w:szCs w:val="24"/>
          <w:highlight w:val="none"/>
          <w:lang w:val="zh-CN"/>
        </w:rPr>
        <w:t>00台。</w:t>
      </w:r>
    </w:p>
    <w:p>
      <w:pPr>
        <w:pStyle w:val="25"/>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（3）显示器</w:t>
      </w:r>
      <w:r>
        <w:rPr>
          <w:rFonts w:hint="eastAsia" w:ascii="宋体" w:hAnsi="宋体" w:cs="宋体"/>
          <w:kern w:val="2"/>
          <w:sz w:val="24"/>
          <w:szCs w:val="24"/>
          <w:highlight w:val="none"/>
          <w:lang w:val="en-US" w:eastAsia="zh-CN"/>
        </w:rPr>
        <w:t>后期预计</w:t>
      </w:r>
      <w:r>
        <w:rPr>
          <w:rFonts w:hint="eastAsia" w:ascii="宋体" w:hAnsi="宋体" w:eastAsia="宋体" w:cs="宋体"/>
          <w:kern w:val="2"/>
          <w:sz w:val="24"/>
          <w:szCs w:val="24"/>
          <w:highlight w:val="none"/>
          <w:lang w:val="zh-CN"/>
        </w:rPr>
        <w:t>3800台。</w:t>
      </w:r>
    </w:p>
    <w:p>
      <w:pPr>
        <w:pStyle w:val="25"/>
        <w:pageBreakBefore w:val="0"/>
        <w:kinsoku/>
        <w:wordWrap/>
        <w:overflowPunct/>
        <w:topLinePunct w:val="0"/>
        <w:bidi w:val="0"/>
        <w:spacing w:line="360" w:lineRule="auto"/>
        <w:ind w:left="719" w:leftChars="228" w:hanging="240" w:hangingChars="10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zh-CN"/>
        </w:rPr>
        <w:t>）</w:t>
      </w:r>
      <w:r>
        <w:rPr>
          <w:rFonts w:hint="eastAsia" w:ascii="宋体" w:hAnsi="宋体" w:cs="宋体"/>
          <w:kern w:val="2"/>
          <w:sz w:val="24"/>
          <w:szCs w:val="24"/>
          <w:highlight w:val="none"/>
          <w:lang w:val="en-US" w:eastAsia="zh-CN"/>
        </w:rPr>
        <w:t>电视机</w:t>
      </w:r>
      <w:r>
        <w:rPr>
          <w:rFonts w:hint="eastAsia" w:ascii="宋体" w:hAnsi="宋体" w:eastAsia="宋体" w:cs="宋体"/>
          <w:kern w:val="2"/>
          <w:sz w:val="24"/>
          <w:szCs w:val="24"/>
          <w:highlight w:val="none"/>
          <w:lang w:val="zh-CN"/>
        </w:rPr>
        <w:t>大概</w:t>
      </w:r>
      <w:r>
        <w:rPr>
          <w:rFonts w:hint="eastAsia" w:ascii="宋体" w:hAnsi="宋体" w:cs="宋体"/>
          <w:kern w:val="2"/>
          <w:sz w:val="24"/>
          <w:szCs w:val="24"/>
          <w:highlight w:val="none"/>
          <w:lang w:val="en-US" w:eastAsia="zh-CN"/>
        </w:rPr>
        <w:t>10</w:t>
      </w:r>
      <w:r>
        <w:rPr>
          <w:rFonts w:hint="eastAsia" w:ascii="宋体" w:hAnsi="宋体" w:eastAsia="宋体" w:cs="宋体"/>
          <w:kern w:val="2"/>
          <w:sz w:val="24"/>
          <w:szCs w:val="24"/>
          <w:highlight w:val="none"/>
          <w:lang w:val="zh-CN"/>
        </w:rPr>
        <w:t>00台</w:t>
      </w:r>
    </w:p>
    <w:p>
      <w:pPr>
        <w:pStyle w:val="25"/>
        <w:pageBreakBefore w:val="0"/>
        <w:kinsoku/>
        <w:wordWrap/>
        <w:overflowPunct/>
        <w:topLinePunct w:val="0"/>
        <w:bidi w:val="0"/>
        <w:spacing w:line="360" w:lineRule="auto"/>
        <w:ind w:left="719" w:leftChars="228" w:hanging="240" w:hangingChars="1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zh-CN"/>
        </w:rPr>
        <w:t>（</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lang w:val="zh-CN"/>
        </w:rPr>
        <w:t>）</w:t>
      </w:r>
      <w:r>
        <w:rPr>
          <w:rFonts w:hint="eastAsia" w:ascii="宋体" w:hAnsi="宋体" w:cs="宋体"/>
          <w:kern w:val="2"/>
          <w:sz w:val="24"/>
          <w:szCs w:val="24"/>
          <w:highlight w:val="none"/>
          <w:lang w:val="en-US" w:eastAsia="zh-CN"/>
        </w:rPr>
        <w:t>光电设备</w:t>
      </w:r>
      <w:r>
        <w:rPr>
          <w:rFonts w:hint="eastAsia" w:ascii="宋体" w:hAnsi="宋体" w:eastAsia="宋体" w:cs="宋体"/>
          <w:kern w:val="2"/>
          <w:sz w:val="24"/>
          <w:szCs w:val="24"/>
          <w:highlight w:val="none"/>
          <w:lang w:val="zh-CN"/>
        </w:rPr>
        <w:t>大概</w:t>
      </w:r>
      <w:r>
        <w:rPr>
          <w:rFonts w:hint="eastAsia" w:ascii="宋体" w:hAnsi="宋体" w:cs="宋体"/>
          <w:kern w:val="2"/>
          <w:sz w:val="24"/>
          <w:szCs w:val="24"/>
          <w:highlight w:val="none"/>
          <w:lang w:val="en-US" w:eastAsia="zh-CN"/>
        </w:rPr>
        <w:t>10</w:t>
      </w:r>
      <w:r>
        <w:rPr>
          <w:rFonts w:hint="eastAsia" w:ascii="宋体" w:hAnsi="宋体" w:eastAsia="宋体" w:cs="宋体"/>
          <w:kern w:val="2"/>
          <w:sz w:val="24"/>
          <w:szCs w:val="24"/>
          <w:highlight w:val="none"/>
          <w:lang w:val="zh-CN"/>
        </w:rPr>
        <w:t>00台</w:t>
      </w:r>
    </w:p>
    <w:p>
      <w:pPr>
        <w:pStyle w:val="25"/>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（4）其他设备数量大概500台。</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以上设备主要品牌包括但不限于戴尔、三星、联想、IBM、HP、得实、Epson、富士施乐、兄弟、佳能、松下等；部分设备在保修期。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2）目前设备情况</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（1）随着医院规模不断发展，相应设备数量还会不断增加。一般每年增长率不会低于现在所有设备数量的5%，具体数量以实际增加为准。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（2）新购设备一般有1-3年的免费维护期，但不排除很多现在在保修期的设备在外包期间过保的可能。</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（3）目前的设备与将来在终端硬件维护外包服务期内新购的设备的日常终端硬件维护外包服务费用都包含在本项目范围内。</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（4）新设备软硬件现场安装费用都包含在设备采购项目中，由供货商负责现场安装或相关的服务费用支出，如供货商无法现场服务时由成交人代为提供，其费用由供货商支付，如有纠纷，由</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协调。</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2、服务范围包括但不限于：</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（1）电脑主机、显示器、打印机等软硬件不能正常使用的。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（2）网线（电脑与信息点面板连接段）、打印机线、打印机断针、更换墨盒硒鼓、鼠标、键盘等属于耗材类不能正常使用的（本条所更换的耗材另计算费用）。</w:t>
      </w:r>
    </w:p>
    <w:p>
      <w:pPr>
        <w:pStyle w:val="2"/>
        <w:rPr>
          <w:rFonts w:hint="eastAsia" w:eastAsia="宋体"/>
          <w:lang w:val="zh-CN" w:eastAsia="zh-CN"/>
        </w:rPr>
      </w:pPr>
      <w:r>
        <w:rPr>
          <w:rFonts w:hint="eastAsia" w:ascii="宋体" w:hAnsi="宋体" w:eastAsia="宋体" w:cs="宋体"/>
          <w:sz w:val="24"/>
          <w:szCs w:val="24"/>
          <w:highlight w:val="none"/>
          <w:lang w:val="zh-CN"/>
        </w:rPr>
        <w:t>（3）</w:t>
      </w:r>
      <w:r>
        <w:rPr>
          <w:rFonts w:hint="eastAsia" w:ascii="宋体" w:hAnsi="宋体" w:eastAsia="宋体" w:cs="宋体"/>
          <w:color w:val="000000"/>
          <w:sz w:val="24"/>
          <w:szCs w:val="24"/>
        </w:rPr>
        <w:t>病房电视机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简单的一些应用，如共享打印机，共享文档，常用办公软件的使用技巧等。专用软件（非操作系统或简单办公应用软件）的故障备注好故障现象或事件维护经过并由服务台转单给相关负责人或相应响应人提供服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）操作系统（特殊机器，指检验科、实验室、CT/MR室、手术室等连接仪器电脑，除外）不能正常使用、不稳定，经</w:t>
      </w:r>
      <w:r>
        <w:rPr>
          <w:rFonts w:hint="eastAsia" w:ascii="宋体" w:hAnsi="宋体" w:cs="宋体"/>
          <w:sz w:val="24"/>
          <w:szCs w:val="24"/>
          <w:highlight w:val="none"/>
          <w:lang w:val="en-US" w:eastAsia="zh-CN"/>
        </w:rPr>
        <w:t>信息与网络管理中心</w:t>
      </w:r>
      <w:r>
        <w:rPr>
          <w:rFonts w:hint="eastAsia" w:ascii="宋体" w:hAnsi="宋体" w:eastAsia="宋体" w:cs="宋体"/>
          <w:sz w:val="24"/>
          <w:szCs w:val="24"/>
          <w:highlight w:val="none"/>
          <w:lang w:val="zh-CN"/>
        </w:rPr>
        <w:t>处理后确定与医疗业务系统不兼容的，都要重新安装</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指定的操作系统、杀毒软件、办公软件、医疗应用软件、使用科室指定软件、准入管理软件，并且要求：</w:t>
      </w:r>
    </w:p>
    <w:p>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①重新安装操作系统后，必须更改计算机名为按医院规划的计算机名并且记录IP地址备案，做设备准入的管理工作。</w:t>
      </w:r>
    </w:p>
    <w:p>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②各类硬件驱动程序安装。</w:t>
      </w:r>
    </w:p>
    <w:p>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③重新装系统时，必须把会丢失的文件备份出来。</w:t>
      </w:r>
    </w:p>
    <w:p>
      <w:pPr>
        <w:keepNext w:val="0"/>
        <w:keepLines w:val="0"/>
        <w:pageBreakBefore w:val="0"/>
        <w:widowControl/>
        <w:suppressLineNumbers w:val="0"/>
        <w:kinsoku/>
        <w:wordWrap/>
        <w:overflowPunct/>
        <w:topLinePunct w:val="0"/>
        <w:bidi w:val="0"/>
        <w:spacing w:line="360" w:lineRule="auto"/>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医疗行业专业信息系统的桌面终端计算机维护</w:t>
      </w:r>
    </w:p>
    <w:p>
      <w:pPr>
        <w:keepNext w:val="0"/>
        <w:keepLines w:val="0"/>
        <w:pageBreakBefore w:val="0"/>
        <w:widowControl/>
        <w:suppressLineNumbers w:val="0"/>
        <w:kinsoku/>
        <w:wordWrap/>
        <w:overflowPunct/>
        <w:topLinePunct w:val="0"/>
        <w:bidi w:val="0"/>
        <w:spacing w:line="360" w:lineRule="auto"/>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医疗业务软件日常维护，包含客户端安装、调试、排错、故障解决，如判断为后台软件问题</w:t>
      </w:r>
      <w:r>
        <w:rPr>
          <w:rFonts w:hint="eastAsia" w:ascii="宋体" w:hAnsi="宋体" w:eastAsia="宋体" w:cs="宋体"/>
          <w:sz w:val="24"/>
          <w:szCs w:val="24"/>
          <w:highlight w:val="none"/>
          <w:lang w:val="en-US" w:eastAsia="zh-CN"/>
        </w:rPr>
        <w:t>及时反馈至</w:t>
      </w:r>
      <w:r>
        <w:rPr>
          <w:rFonts w:hint="eastAsia" w:ascii="宋体" w:hAnsi="宋体" w:cs="宋体"/>
          <w:sz w:val="24"/>
          <w:szCs w:val="24"/>
          <w:highlight w:val="none"/>
          <w:lang w:val="en-US" w:eastAsia="zh-CN"/>
        </w:rPr>
        <w:t>信息与网络管理中心</w:t>
      </w:r>
      <w:r>
        <w:rPr>
          <w:rFonts w:hint="eastAsia" w:ascii="宋体" w:hAnsi="宋体" w:eastAsia="宋体" w:cs="宋体"/>
          <w:sz w:val="24"/>
          <w:szCs w:val="24"/>
          <w:highlight w:val="none"/>
          <w:lang w:val="en-US" w:eastAsia="zh-CN"/>
        </w:rPr>
        <w:t>并</w:t>
      </w:r>
      <w:r>
        <w:rPr>
          <w:rFonts w:hint="eastAsia" w:ascii="宋体" w:hAnsi="宋体" w:eastAsia="宋体" w:cs="宋体"/>
          <w:color w:val="000000"/>
          <w:kern w:val="0"/>
          <w:sz w:val="24"/>
          <w:szCs w:val="24"/>
          <w:highlight w:val="none"/>
          <w:lang w:val="en-US" w:eastAsia="zh-CN" w:bidi="ar"/>
        </w:rPr>
        <w:t>跟进</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zh-CN"/>
        </w:rPr>
        <w:t>）新布线的信息点与电脑连接，设置采购人指定的IP地址，记录主机MAC地址。</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rPr>
        <w:t>）损坏的维保设备仍在厂家保修期及保修范围内，由成交人驻守工程师联络厂家维修（联络方法由</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提供），若购买该设备的时候，原厂家承诺上门维修的，由原厂家上门维修；否则由成交人送修；如有纠纷，由用户</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协调。</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）办公设备优化等日常维护：通过每年度的检测、优化等，提高办公设备使用效率和使用寿命。</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zh-CN"/>
        </w:rPr>
        <w:t>）及时有效的为使用科室提供IT行业相关咨询，根据使用科室的实际情况为使用科室提供有效的行业应用方案建议书。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rPr>
        <w:t>）除电脑主机、显示器、打印机外的其他设备如投影仪、传真机、扫描仪等协助维修（维修费另计）。</w:t>
      </w:r>
    </w:p>
    <w:p>
      <w:pPr>
        <w:pageBreakBefore w:val="0"/>
        <w:kinsoku/>
        <w:wordWrap/>
        <w:overflowPunct/>
        <w:topLinePunct w:val="0"/>
        <w:bidi w:val="0"/>
        <w:spacing w:line="360" w:lineRule="auto"/>
        <w:ind w:firstLine="480" w:firstLineChars="200"/>
        <w:textAlignment w:val="auto"/>
        <w:rPr>
          <w:rFonts w:hint="default" w:ascii="宋体" w:hAnsi="宋体" w:eastAsia="宋体" w:cs="宋体"/>
          <w:bCs/>
          <w:snapToGrid w:val="0"/>
          <w:sz w:val="24"/>
          <w:szCs w:val="24"/>
          <w:highlight w:val="none"/>
          <w:lang w:val="en-US" w:eastAsia="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eastAsia="宋体" w:cs="宋体"/>
          <w:bCs/>
          <w:snapToGrid w:val="0"/>
          <w:sz w:val="24"/>
          <w:szCs w:val="24"/>
          <w:highlight w:val="none"/>
        </w:rPr>
        <w:t>基础网络维保服务</w:t>
      </w:r>
      <w:r>
        <w:rPr>
          <w:rFonts w:hint="eastAsia" w:ascii="宋体" w:hAnsi="宋体" w:cs="宋体"/>
          <w:bCs/>
          <w:snapToGrid w:val="0"/>
          <w:sz w:val="24"/>
          <w:szCs w:val="24"/>
          <w:highlight w:val="none"/>
          <w:lang w:eastAsia="zh-CN"/>
        </w:rPr>
        <w:t>、</w:t>
      </w:r>
      <w:r>
        <w:rPr>
          <w:rFonts w:hint="eastAsia" w:ascii="宋体" w:hAnsi="宋体" w:cs="宋体"/>
          <w:bCs/>
          <w:snapToGrid w:val="0"/>
          <w:sz w:val="24"/>
          <w:szCs w:val="24"/>
          <w:highlight w:val="none"/>
          <w:lang w:val="en-US" w:eastAsia="zh-CN"/>
        </w:rPr>
        <w:t>机房管理</w:t>
      </w:r>
    </w:p>
    <w:p>
      <w:pPr>
        <w:pStyle w:val="24"/>
        <w:numPr>
          <w:ilvl w:val="0"/>
          <w:numId w:val="0"/>
        </w:numPr>
        <w:adjustRightInd w:val="0"/>
        <w:snapToGrid w:val="0"/>
        <w:spacing w:line="360" w:lineRule="auto"/>
        <w:ind w:left="420" w:leftChars="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①</w:t>
      </w:r>
      <w:r>
        <w:rPr>
          <w:rFonts w:hint="eastAsia" w:ascii="宋体" w:hAnsi="宋体" w:eastAsia="宋体" w:cs="宋体"/>
          <w:snapToGrid w:val="0"/>
          <w:sz w:val="24"/>
          <w:szCs w:val="24"/>
          <w:highlight w:val="none"/>
        </w:rPr>
        <w:t>网络交换机，包括核心、汇聚和接入层交换机；</w:t>
      </w:r>
    </w:p>
    <w:p>
      <w:pPr>
        <w:pStyle w:val="24"/>
        <w:numPr>
          <w:ilvl w:val="0"/>
          <w:numId w:val="0"/>
        </w:numPr>
        <w:adjustRightInd w:val="0"/>
        <w:snapToGrid w:val="0"/>
        <w:spacing w:line="360" w:lineRule="auto"/>
        <w:ind w:left="420" w:leftChars="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②</w:t>
      </w:r>
      <w:r>
        <w:rPr>
          <w:rFonts w:hint="eastAsia" w:ascii="宋体" w:hAnsi="宋体" w:eastAsia="宋体" w:cs="宋体"/>
          <w:snapToGrid w:val="0"/>
          <w:sz w:val="24"/>
          <w:szCs w:val="24"/>
          <w:highlight w:val="none"/>
        </w:rPr>
        <w:t>无线网络设备；</w:t>
      </w:r>
    </w:p>
    <w:p>
      <w:pPr>
        <w:pStyle w:val="24"/>
        <w:numPr>
          <w:ilvl w:val="0"/>
          <w:numId w:val="0"/>
        </w:numPr>
        <w:adjustRightInd w:val="0"/>
        <w:snapToGrid w:val="0"/>
        <w:spacing w:line="360" w:lineRule="auto"/>
        <w:ind w:left="420" w:leftChars="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③</w:t>
      </w:r>
      <w:r>
        <w:rPr>
          <w:rFonts w:hint="eastAsia" w:ascii="宋体" w:hAnsi="宋体" w:eastAsia="宋体" w:cs="宋体"/>
          <w:snapToGrid w:val="0"/>
          <w:sz w:val="24"/>
          <w:szCs w:val="24"/>
          <w:highlight w:val="none"/>
        </w:rPr>
        <w:t>机房配套的UPS、空调、消防和环境监控设备；</w:t>
      </w:r>
    </w:p>
    <w:p>
      <w:pPr>
        <w:pStyle w:val="24"/>
        <w:numPr>
          <w:ilvl w:val="0"/>
          <w:numId w:val="0"/>
        </w:numPr>
        <w:adjustRightInd w:val="0"/>
        <w:snapToGrid w:val="0"/>
        <w:spacing w:line="360" w:lineRule="auto"/>
        <w:ind w:left="420" w:leftChars="0"/>
        <w:jc w:val="left"/>
        <w:rPr>
          <w:rFonts w:hint="default"/>
          <w:sz w:val="24"/>
          <w:szCs w:val="24"/>
          <w:lang w:val="en-US" w:eastAsia="zh-CN"/>
        </w:rPr>
      </w:pPr>
      <w:r>
        <w:rPr>
          <w:rFonts w:hint="eastAsia" w:ascii="宋体" w:hAnsi="宋体" w:cs="宋体"/>
          <w:snapToGrid w:val="0"/>
          <w:sz w:val="24"/>
          <w:szCs w:val="24"/>
          <w:highlight w:val="none"/>
          <w:lang w:val="en-US" w:eastAsia="zh-CN"/>
        </w:rPr>
        <w:t>④</w:t>
      </w:r>
      <w:r>
        <w:rPr>
          <w:rFonts w:hint="eastAsia"/>
          <w:sz w:val="24"/>
          <w:szCs w:val="24"/>
          <w:lang w:val="en-US" w:eastAsia="zh-CN"/>
        </w:rPr>
        <w:t>对机房进行基本管理包括机房进出入人员管理、设备上下架管理、资源变更管理以及机房施工管理</w:t>
      </w:r>
    </w:p>
    <w:p>
      <w:pPr>
        <w:pStyle w:val="24"/>
        <w:numPr>
          <w:ilvl w:val="0"/>
          <w:numId w:val="0"/>
        </w:numPr>
        <w:adjustRightInd w:val="0"/>
        <w:snapToGrid w:val="0"/>
        <w:spacing w:line="360" w:lineRule="auto"/>
        <w:ind w:left="420" w:leftChars="0"/>
        <w:jc w:val="left"/>
        <w:rPr>
          <w:rFonts w:hint="eastAsia" w:ascii="宋体" w:hAnsi="宋体" w:eastAsia="宋体" w:cs="宋体"/>
          <w:snapToGrid w:val="0"/>
          <w:sz w:val="24"/>
          <w:szCs w:val="24"/>
          <w:highlight w:val="none"/>
        </w:rPr>
      </w:pPr>
      <w:r>
        <w:rPr>
          <w:rFonts w:hint="eastAsia" w:ascii="宋体" w:hAnsi="宋体" w:cs="宋体"/>
          <w:snapToGrid w:val="0"/>
          <w:sz w:val="24"/>
          <w:szCs w:val="24"/>
          <w:highlight w:val="none"/>
          <w:lang w:val="en-US" w:eastAsia="zh-CN"/>
        </w:rPr>
        <w:t>⑤</w:t>
      </w:r>
      <w:r>
        <w:rPr>
          <w:rFonts w:hint="eastAsia" w:ascii="宋体" w:hAnsi="宋体" w:eastAsia="宋体" w:cs="宋体"/>
          <w:snapToGrid w:val="0"/>
          <w:sz w:val="24"/>
          <w:szCs w:val="24"/>
          <w:highlight w:val="none"/>
        </w:rPr>
        <w:t>下文中术语“核心设备”指机房内的上文所列之第（1</w:t>
      </w:r>
      <w:r>
        <w:rPr>
          <w:rFonts w:hint="eastAsia" w:ascii="宋体" w:hAnsi="宋体" w:eastAsia="宋体" w:cs="宋体"/>
          <w:snapToGrid w:val="0"/>
          <w:sz w:val="24"/>
          <w:szCs w:val="24"/>
          <w:highlight w:val="none"/>
          <w:lang w:val="en-US" w:eastAsia="zh-CN"/>
        </w:rPr>
        <w:t>)</w:t>
      </w:r>
      <w:r>
        <w:rPr>
          <w:rFonts w:hint="eastAsia" w:ascii="宋体" w:hAnsi="宋体" w:eastAsia="宋体" w:cs="宋体"/>
          <w:snapToGrid w:val="0"/>
          <w:sz w:val="24"/>
          <w:szCs w:val="24"/>
          <w:highlight w:val="none"/>
        </w:rPr>
        <w:t>-</w:t>
      </w:r>
      <w:r>
        <w:rPr>
          <w:rFonts w:hint="eastAsia" w:ascii="宋体" w:hAnsi="宋体" w:eastAsia="宋体" w:cs="宋体"/>
          <w:snapToGrid w:val="0"/>
          <w:sz w:val="24"/>
          <w:szCs w:val="24"/>
          <w:highlight w:val="none"/>
          <w:lang w:val="en-US" w:eastAsia="zh-CN"/>
        </w:rPr>
        <w:t>(</w:t>
      </w:r>
      <w:r>
        <w:rPr>
          <w:rFonts w:hint="eastAsia" w:ascii="宋体" w:hAnsi="宋体" w:eastAsia="宋体" w:cs="宋体"/>
          <w:snapToGrid w:val="0"/>
          <w:sz w:val="24"/>
          <w:szCs w:val="24"/>
          <w:highlight w:val="none"/>
        </w:rPr>
        <w:t>3）点的设备，维护范围内除核心设备以外的设备称“非核心设备”。</w:t>
      </w:r>
    </w:p>
    <w:p>
      <w:pPr>
        <w:pStyle w:val="24"/>
        <w:numPr>
          <w:ilvl w:val="0"/>
          <w:numId w:val="0"/>
        </w:numPr>
        <w:adjustRightInd w:val="0"/>
        <w:snapToGrid w:val="0"/>
        <w:spacing w:line="360" w:lineRule="auto"/>
        <w:ind w:firstLine="420" w:firstLineChars="0"/>
        <w:jc w:val="left"/>
        <w:rPr>
          <w:rFonts w:hint="eastAsia"/>
          <w:sz w:val="24"/>
          <w:szCs w:val="24"/>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w:t>
      </w:r>
      <w:r>
        <w:rPr>
          <w:rFonts w:hint="eastAsia" w:ascii="宋体" w:hAnsi="宋体" w:eastAsia="宋体" w:cs="宋体"/>
          <w:b w:val="0"/>
          <w:bCs/>
          <w:snapToGrid w:val="0"/>
          <w:sz w:val="24"/>
          <w:szCs w:val="24"/>
          <w:highlight w:val="none"/>
        </w:rPr>
        <w:t>提供项目所需配套软件</w:t>
      </w:r>
      <w:r>
        <w:rPr>
          <w:rFonts w:hint="eastAsia" w:ascii="宋体" w:hAnsi="宋体" w:eastAsia="宋体" w:cs="宋体"/>
          <w:b w:val="0"/>
          <w:bCs/>
          <w:snapToGrid w:val="0"/>
          <w:sz w:val="24"/>
          <w:szCs w:val="24"/>
          <w:highlight w:val="none"/>
          <w:lang w:eastAsia="zh-CN"/>
        </w:rPr>
        <w:t>和部分设备原厂续保</w:t>
      </w:r>
      <w:r>
        <w:rPr>
          <w:rFonts w:hint="eastAsia" w:ascii="宋体" w:hAnsi="宋体" w:eastAsia="宋体" w:cs="宋体"/>
          <w:b w:val="0"/>
          <w:bCs/>
          <w:snapToGrid w:val="0"/>
          <w:sz w:val="24"/>
          <w:szCs w:val="24"/>
          <w:highlight w:val="none"/>
        </w:rPr>
        <w:t>服务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）其他IT设备相关支持服务。</w:t>
      </w:r>
    </w:p>
    <w:p>
      <w:pPr>
        <w:pStyle w:val="6"/>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▲3、成交人对以下电脑设备进行维修、保养或更换零配件，1000元以下的不再另行收取任何费用，主要包括（需提供承诺函并加盖响应人公章，格式自拟）：</w:t>
      </w:r>
    </w:p>
    <w:tbl>
      <w:tblPr>
        <w:tblStyle w:val="17"/>
        <w:tblW w:w="89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1772"/>
        <w:gridCol w:w="6242"/>
      </w:tblGrid>
      <w:tr>
        <w:trPr>
          <w:trHeight w:val="566" w:hRule="atLeast"/>
          <w:jc w:val="center"/>
        </w:trPr>
        <w:tc>
          <w:tcPr>
            <w:tcW w:w="2719" w:type="dxa"/>
            <w:gridSpan w:val="2"/>
            <w:tcBorders>
              <w:top w:val="single" w:color="auto" w:sz="12" w:space="0"/>
              <w:left w:val="single" w:color="auto" w:sz="12" w:space="0"/>
              <w:bottom w:val="single" w:color="auto" w:sz="6" w:space="0"/>
              <w:right w:val="single" w:color="auto" w:sz="6" w:space="0"/>
            </w:tcBorders>
            <w:noWrap w:val="0"/>
            <w:vAlign w:val="center"/>
          </w:tcPr>
          <w:p>
            <w:pPr>
              <w:tabs>
                <w:tab w:val="left" w:pos="2198"/>
              </w:tabs>
              <w:spacing w:line="360" w:lineRule="auto"/>
              <w:ind w:firstLine="420" w:firstLineChars="20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类   型</w:t>
            </w:r>
          </w:p>
        </w:tc>
        <w:tc>
          <w:tcPr>
            <w:tcW w:w="6242" w:type="dxa"/>
            <w:tcBorders>
              <w:top w:val="single" w:color="auto" w:sz="12"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硬件免费保修内容</w:t>
            </w:r>
          </w:p>
        </w:tc>
      </w:tr>
      <w:tr>
        <w:trPr>
          <w:trHeight w:val="671" w:hRule="atLeast"/>
          <w:jc w:val="center"/>
        </w:trPr>
        <w:tc>
          <w:tcPr>
            <w:tcW w:w="947" w:type="dxa"/>
            <w:vMerge w:val="restart"/>
            <w:tcBorders>
              <w:top w:val="single" w:color="auto" w:sz="6" w:space="0"/>
              <w:left w:val="single" w:color="auto" w:sz="12"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电脑</w:t>
            </w: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台式主机</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主板、CPU、内存、硬盘、光驱、软驱、显卡、声卡、网卡、电源等。（不包消耗品如键盘、鼠标）。</w:t>
            </w:r>
          </w:p>
        </w:tc>
      </w:tr>
      <w:tr>
        <w:trPr>
          <w:trHeight w:val="269" w:hRule="atLeast"/>
          <w:jc w:val="center"/>
        </w:trPr>
        <w:tc>
          <w:tcPr>
            <w:tcW w:w="94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显示器</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高压包、行输出管、三基色放大管、IC、整流二极管、电源开关管、电源振荡IC、二次电源调整管、保险管、电容电阻、电感线圈、偏转线圈、液晶主板、液晶高压板、液晶灯管、液晶适配器、液晶屏等。（不包触摸液晶屏）。</w:t>
            </w:r>
          </w:p>
        </w:tc>
      </w:tr>
      <w:tr>
        <w:trPr>
          <w:trHeight w:val="686" w:hRule="atLeast"/>
          <w:jc w:val="center"/>
        </w:trPr>
        <w:tc>
          <w:tcPr>
            <w:tcW w:w="94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一体式电脑</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主板、CPU、内存、硬盘、光驱、散热器、电源、液晶屏等。（不包消耗品如键盘、鼠标、触摸液晶屏）。</w:t>
            </w:r>
          </w:p>
        </w:tc>
      </w:tr>
      <w:tr>
        <w:trPr>
          <w:trHeight w:val="1301" w:hRule="atLeast"/>
          <w:jc w:val="center"/>
        </w:trPr>
        <w:tc>
          <w:tcPr>
            <w:tcW w:w="947" w:type="dxa"/>
            <w:vMerge w:val="restart"/>
            <w:tcBorders>
              <w:top w:val="single" w:color="auto" w:sz="6" w:space="0"/>
              <w:left w:val="single" w:color="auto" w:sz="12"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打印机</w:t>
            </w: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激光打印机</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主板、机架、电源板、齿轮、主电机、附电机、按键、纸盒、激光发生器、加热芯、定影膜、定影灯、分离器、搓纸轮、进纸传感器、出纸传感器、进出纸主附轮等。（不包消耗品如硒鼓、碳粉等）。</w:t>
            </w:r>
          </w:p>
        </w:tc>
      </w:tr>
      <w:tr>
        <w:trPr>
          <w:trHeight w:val="1232" w:hRule="atLeast"/>
          <w:jc w:val="center"/>
        </w:trPr>
        <w:tc>
          <w:tcPr>
            <w:tcW w:w="94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喷墨打印机</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主板、附板、电源板、头缆、机架、齿轮、主电机、附电机、导纸盒、轮盘传感器（附轮）、出进纸主轴附轴、皮带、导轴、部分传感器、棉垫、字车、计数器、搓纸轮、废墨填充器、泵及附件等。（不包消耗品如喷墨头、墨水、墨盒等）。</w:t>
            </w:r>
          </w:p>
        </w:tc>
      </w:tr>
      <w:tr>
        <w:trPr>
          <w:trHeight w:val="1234" w:hRule="atLeast"/>
          <w:jc w:val="center"/>
        </w:trPr>
        <w:tc>
          <w:tcPr>
            <w:tcW w:w="94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针式打印机</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主机板、字车导轨、打印头支架、齿轮、指示灯、电机、卷纸轴滚筒、控制面板、卷轴旋扭、导纸器、拖纸器、过纸控制杆、打印头挡片等。（不包消耗品如打印头、打印针、色带架、色带等，打印头断针故障更换断针服务除外）。</w:t>
            </w:r>
          </w:p>
        </w:tc>
      </w:tr>
      <w:tr>
        <w:trPr>
          <w:trHeight w:val="176" w:hRule="atLeast"/>
          <w:jc w:val="center"/>
        </w:trPr>
        <w:tc>
          <w:tcPr>
            <w:tcW w:w="94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多功能一体机</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ind w:firstLine="420" w:firstLineChars="20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主板、机架、齿轮、主附电机、原搞扫描器、送话器、键盘、纸盒、分离器、搓纸轮、进纸传感器、出纸传感器、进出纸主附轮、电源板等。（不包消耗品如扫描头、硒鼓、碳粉、喷墨头、墨水、墨盒等）。</w:t>
            </w:r>
          </w:p>
        </w:tc>
      </w:tr>
      <w:tr>
        <w:trPr>
          <w:trHeight w:val="1066" w:hRule="atLeast"/>
          <w:jc w:val="center"/>
        </w:trPr>
        <w:tc>
          <w:tcPr>
            <w:tcW w:w="947" w:type="dxa"/>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其他</w:t>
            </w:r>
          </w:p>
        </w:tc>
        <w:tc>
          <w:tcPr>
            <w:tcW w:w="1772" w:type="dxa"/>
            <w:tcBorders>
              <w:top w:val="single" w:color="auto" w:sz="6" w:space="0"/>
              <w:left w:val="single" w:color="auto" w:sz="6" w:space="0"/>
              <w:bottom w:val="single" w:color="auto" w:sz="6"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其他未列设备</w:t>
            </w:r>
          </w:p>
        </w:tc>
        <w:tc>
          <w:tcPr>
            <w:tcW w:w="6242" w:type="dxa"/>
            <w:tcBorders>
              <w:top w:val="single" w:color="auto" w:sz="6" w:space="0"/>
              <w:left w:val="single" w:color="auto" w:sz="6" w:space="0"/>
              <w:bottom w:val="single" w:color="auto" w:sz="6" w:space="0"/>
              <w:right w:val="single" w:color="auto" w:sz="12" w:space="0"/>
            </w:tcBorders>
            <w:noWrap w:val="0"/>
            <w:vAlign w:val="center"/>
          </w:tcPr>
          <w:p>
            <w:pPr>
              <w:tabs>
                <w:tab w:val="left" w:pos="2198"/>
              </w:tabs>
              <w:spacing w:line="360" w:lineRule="auto"/>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可协助维修或转单服务，按实际维修费用另外计算。</w:t>
            </w:r>
          </w:p>
        </w:tc>
      </w:tr>
      <w:tr>
        <w:trPr>
          <w:trHeight w:val="53" w:hRule="atLeast"/>
          <w:jc w:val="center"/>
        </w:trPr>
        <w:tc>
          <w:tcPr>
            <w:tcW w:w="947" w:type="dxa"/>
            <w:tcBorders>
              <w:top w:val="single" w:color="auto" w:sz="6" w:space="0"/>
              <w:left w:val="single" w:color="auto" w:sz="12" w:space="0"/>
              <w:bottom w:val="single" w:color="auto" w:sz="12" w:space="0"/>
              <w:right w:val="single" w:color="auto" w:sz="6" w:space="0"/>
            </w:tcBorders>
            <w:noWrap w:val="0"/>
            <w:vAlign w:val="center"/>
          </w:tcPr>
          <w:p>
            <w:pPr>
              <w:tabs>
                <w:tab w:val="left" w:pos="2198"/>
              </w:tabs>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服务常规内容</w:t>
            </w:r>
          </w:p>
        </w:tc>
        <w:tc>
          <w:tcPr>
            <w:tcW w:w="8014" w:type="dxa"/>
            <w:gridSpan w:val="2"/>
            <w:tcBorders>
              <w:top w:val="single" w:color="auto" w:sz="6" w:space="0"/>
              <w:left w:val="single" w:color="auto" w:sz="6" w:space="0"/>
              <w:bottom w:val="single" w:color="auto" w:sz="12" w:space="0"/>
              <w:right w:val="single" w:color="auto" w:sz="12" w:space="0"/>
            </w:tcBorders>
            <w:noWrap w:val="0"/>
            <w:vAlign w:val="center"/>
          </w:tcPr>
          <w:p>
            <w:pPr>
              <w:spacing w:line="360" w:lineRule="auto"/>
              <w:ind w:left="354" w:hanging="354"/>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 xml:space="preserve">1、软件服务：系统软件、应用软件、驱动程序等安装配置、维护升级等服务，如：操作系统、工具软件、硬件驱动、OFFICE办公软件等安装调试，及软件故障排除，如：死机、中毒、 黑屏、 蓝屏等； </w:t>
            </w:r>
          </w:p>
          <w:p>
            <w:pPr>
              <w:kinsoku w:val="0"/>
              <w:overflowPunct w:val="0"/>
              <w:spacing w:line="360" w:lineRule="auto"/>
              <w:ind w:left="340" w:hanging="340"/>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2、硬件服务：电脑、PC服务器、外设、办公设备等硬件的安装调试、故障检测、问题排除， 如：配件更换、维修等；</w:t>
            </w:r>
          </w:p>
          <w:p>
            <w:pPr>
              <w:kinsoku w:val="0"/>
              <w:overflowPunct w:val="0"/>
              <w:spacing w:line="360" w:lineRule="auto"/>
              <w:ind w:left="296" w:hanging="296" w:hangingChars="141"/>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 xml:space="preserve">3、常规网络服务：简单网络设备（如：路由器、交换机等）的安装调试，简单网络故障排除和调试优化， 如：文件共享/打印共享/上网共享等； </w:t>
            </w:r>
          </w:p>
          <w:p>
            <w:pPr>
              <w:kinsoku w:val="0"/>
              <w:overflowPunct w:val="0"/>
              <w:spacing w:line="360" w:lineRule="auto"/>
              <w:ind w:left="312" w:hanging="312"/>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 xml:space="preserve">4、例行巡检服务（即“体检式服务”） ：IT设备定期巡检、优化和维护，如：系统优化、系统补丁等； </w:t>
            </w:r>
          </w:p>
          <w:p>
            <w:pPr>
              <w:kinsoku w:val="0"/>
              <w:overflowPunct w:val="0"/>
              <w:spacing w:line="360" w:lineRule="auto"/>
              <w:ind w:left="547" w:hanging="547"/>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5、常规安全服务：防杀病毒、系统补丁、数据备份等；</w:t>
            </w:r>
          </w:p>
          <w:p>
            <w:pPr>
              <w:kinsoku w:val="0"/>
              <w:overflowPunct w:val="0"/>
              <w:spacing w:line="360" w:lineRule="auto"/>
              <w:ind w:left="547" w:hanging="547"/>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6、提供服务报表：如：IT设备的故障分析和采购建议等；</w:t>
            </w:r>
          </w:p>
          <w:p>
            <w:pPr>
              <w:kinsoku w:val="0"/>
              <w:overflowPunct w:val="0"/>
              <w:spacing w:line="360" w:lineRule="auto"/>
              <w:ind w:left="547" w:hanging="547"/>
              <w:textAlignment w:val="baseline"/>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7、服务专线支持：设立服务报修专线和24小时电话支持；</w:t>
            </w:r>
          </w:p>
          <w:p>
            <w:pPr>
              <w:tabs>
                <w:tab w:val="left" w:pos="2198"/>
              </w:tabs>
              <w:spacing w:line="360" w:lineRule="auto"/>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8、咨询和配送服务：各类IT产品的性能和价格的咨询及其配送；</w:t>
            </w:r>
          </w:p>
          <w:p>
            <w:pPr>
              <w:tabs>
                <w:tab w:val="left" w:pos="2198"/>
              </w:tabs>
              <w:spacing w:line="360" w:lineRule="auto"/>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9、打印耗材的安装服务：为各类打印设备耗材更换提供安装服务。</w:t>
            </w:r>
          </w:p>
        </w:tc>
      </w:tr>
    </w:tbl>
    <w:p>
      <w:pPr>
        <w:pStyle w:val="15"/>
        <w:ind w:firstLine="0" w:firstLineChars="0"/>
        <w:rPr>
          <w:rFonts w:ascii="仿宋" w:hAnsi="仿宋" w:eastAsia="仿宋" w:cs="仿宋"/>
          <w:sz w:val="24"/>
          <w:szCs w:val="24"/>
        </w:rPr>
      </w:pPr>
    </w:p>
    <w:p>
      <w:pPr>
        <w:rPr>
          <w:rFonts w:hint="eastAsia"/>
          <w:lang w:val="zh-CN"/>
        </w:rPr>
      </w:pPr>
    </w:p>
    <w:p>
      <w:pPr>
        <w:pStyle w:val="6"/>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（四）服务团队人员组成和岗位职责要求：</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本项目采用以驻场服务为主，机动为辅的混合服务模式，成交人要安排专责服务团队，负责接听报障、登记、分类、故障处理等工作。成交人驻场维护服务人员要求</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val="zh-CN"/>
        </w:rPr>
        <w:t>具体人员组成和职责如下：</w:t>
      </w:r>
    </w:p>
    <w:tbl>
      <w:tblPr>
        <w:tblStyle w:val="1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17"/>
        <w:gridCol w:w="967"/>
        <w:gridCol w:w="734"/>
        <w:gridCol w:w="3827"/>
        <w:gridCol w:w="2447"/>
      </w:tblGrid>
      <w:tr>
        <w:trPr>
          <w:trHeight w:val="560" w:hRule="atLeast"/>
          <w:tblHeader/>
          <w:jc w:val="center"/>
        </w:trPr>
        <w:tc>
          <w:tcPr>
            <w:tcW w:w="696" w:type="dxa"/>
            <w:shd w:val="clear" w:color="auto" w:fill="auto"/>
            <w:noWrap/>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序号</w:t>
            </w:r>
          </w:p>
        </w:tc>
        <w:tc>
          <w:tcPr>
            <w:tcW w:w="717" w:type="dxa"/>
            <w:shd w:val="clear" w:color="auto" w:fill="auto"/>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类型</w:t>
            </w:r>
          </w:p>
        </w:tc>
        <w:tc>
          <w:tcPr>
            <w:tcW w:w="967" w:type="dxa"/>
            <w:shd w:val="clear" w:color="auto" w:fill="auto"/>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职务</w:t>
            </w:r>
          </w:p>
        </w:tc>
        <w:tc>
          <w:tcPr>
            <w:tcW w:w="734" w:type="dxa"/>
            <w:shd w:val="clear" w:color="auto" w:fill="auto"/>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数量（人）</w:t>
            </w:r>
          </w:p>
        </w:tc>
        <w:tc>
          <w:tcPr>
            <w:tcW w:w="3827" w:type="dxa"/>
            <w:shd w:val="clear" w:color="auto" w:fill="auto"/>
            <w:noWrap/>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工作职责</w:t>
            </w:r>
          </w:p>
        </w:tc>
        <w:tc>
          <w:tcPr>
            <w:tcW w:w="2447" w:type="dxa"/>
            <w:shd w:val="clear" w:color="auto" w:fill="auto"/>
            <w:noWrap/>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人员要求</w:t>
            </w:r>
          </w:p>
        </w:tc>
      </w:tr>
      <w:tr>
        <w:trPr>
          <w:trHeight w:val="1680" w:hRule="atLeast"/>
          <w:jc w:val="center"/>
        </w:trPr>
        <w:tc>
          <w:tcPr>
            <w:tcW w:w="696" w:type="dxa"/>
            <w:shd w:val="clear" w:color="auto" w:fill="auto"/>
            <w:noWrap/>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1</w:t>
            </w:r>
          </w:p>
        </w:tc>
        <w:tc>
          <w:tcPr>
            <w:tcW w:w="717" w:type="dxa"/>
            <w:shd w:val="clear" w:color="auto" w:fill="auto"/>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管理岗</w:t>
            </w:r>
          </w:p>
        </w:tc>
        <w:tc>
          <w:tcPr>
            <w:tcW w:w="967" w:type="dxa"/>
            <w:shd w:val="clear" w:color="auto" w:fill="auto"/>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技术总监工程师</w:t>
            </w:r>
          </w:p>
        </w:tc>
        <w:tc>
          <w:tcPr>
            <w:tcW w:w="734" w:type="dxa"/>
            <w:shd w:val="clear" w:color="auto" w:fill="auto"/>
            <w:noWrap/>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1</w:t>
            </w:r>
          </w:p>
        </w:tc>
        <w:tc>
          <w:tcPr>
            <w:tcW w:w="3827" w:type="dxa"/>
            <w:shd w:val="clear" w:color="auto" w:fill="auto"/>
            <w:vAlign w:val="center"/>
          </w:tcPr>
          <w:p>
            <w:pPr>
              <w:ind w:firstLine="0" w:firstLineChars="0"/>
              <w:rPr>
                <w:rFonts w:ascii="仿宋" w:hAnsi="仿宋" w:eastAsia="仿宋" w:cs="仿宋"/>
                <w:color w:val="000000"/>
                <w:sz w:val="21"/>
                <w:szCs w:val="21"/>
                <w:lang w:eastAsia="zh-Hans"/>
              </w:rPr>
            </w:pPr>
            <w:r>
              <w:rPr>
                <w:rFonts w:hint="eastAsia" w:ascii="仿宋" w:hAnsi="仿宋" w:eastAsia="仿宋" w:cs="仿宋"/>
                <w:b/>
                <w:bCs/>
                <w:color w:val="000000"/>
                <w:sz w:val="21"/>
                <w:szCs w:val="21"/>
                <w:lang w:eastAsia="zh-Hans"/>
              </w:rPr>
              <w:t>服务方式：</w:t>
            </w:r>
            <w:r>
              <w:rPr>
                <w:rFonts w:hint="eastAsia" w:ascii="仿宋" w:hAnsi="仿宋" w:eastAsia="仿宋" w:cs="仿宋"/>
                <w:color w:val="000000"/>
                <w:sz w:val="21"/>
                <w:szCs w:val="21"/>
                <w:lang w:eastAsia="zh-Hans"/>
              </w:rPr>
              <w:t>7*</w:t>
            </w:r>
            <w:r>
              <w:rPr>
                <w:rFonts w:hint="eastAsia" w:ascii="仿宋" w:hAnsi="仿宋" w:eastAsia="仿宋" w:cs="仿宋"/>
                <w:color w:val="000000"/>
                <w:sz w:val="21"/>
                <w:szCs w:val="21"/>
                <w:lang w:val="en-US" w:eastAsia="zh-CN"/>
              </w:rPr>
              <w:t>24</w:t>
            </w:r>
            <w:r>
              <w:rPr>
                <w:rFonts w:hint="eastAsia" w:ascii="仿宋" w:hAnsi="仿宋" w:eastAsia="仿宋" w:cs="仿宋"/>
                <w:color w:val="000000"/>
                <w:sz w:val="21"/>
                <w:szCs w:val="21"/>
                <w:lang w:eastAsia="zh-Hans"/>
              </w:rPr>
              <w:t>小时驻点服务</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1)在运行维护服务中负责管理运行维护服务；</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2)与需方建立顺畅的沟通渠道，准确地将需方的需求传递到运行维护服务团队；</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3)规划、检查运行维护服务的各个过程，对运行维护服务能力的策划、实施、检查、改进的范围、过程、信息安全和成果负责。</w:t>
            </w:r>
          </w:p>
        </w:tc>
        <w:tc>
          <w:tcPr>
            <w:tcW w:w="2447" w:type="dxa"/>
            <w:shd w:val="clear" w:color="auto" w:fill="auto"/>
            <w:noWrap/>
            <w:vAlign w:val="center"/>
          </w:tcPr>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1)熟悉项目管理工作，主要负责制定计划、进度汇报、客户沟通等工作；</w:t>
            </w:r>
          </w:p>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2)熟悉撰写项目过程文档，包括日报、周报、月报、会议纪要、业务资料等；</w:t>
            </w:r>
          </w:p>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3)负责对项目具体工作推进和解决；</w:t>
            </w:r>
          </w:p>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4)负责项目资源的组织与协调等工作。</w:t>
            </w:r>
          </w:p>
        </w:tc>
      </w:tr>
      <w:tr>
        <w:trPr>
          <w:trHeight w:val="1680" w:hRule="atLeast"/>
          <w:jc w:val="center"/>
        </w:trPr>
        <w:tc>
          <w:tcPr>
            <w:tcW w:w="696" w:type="dxa"/>
            <w:shd w:val="clear" w:color="auto" w:fill="auto"/>
            <w:noWrap/>
            <w:vAlign w:val="center"/>
          </w:tcPr>
          <w:p>
            <w:pPr>
              <w:ind w:firstLine="0" w:firstLineChars="0"/>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17" w:type="dxa"/>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操作岗</w:t>
            </w:r>
          </w:p>
        </w:tc>
        <w:tc>
          <w:tcPr>
            <w:tcW w:w="967" w:type="dxa"/>
            <w:shd w:val="clear" w:color="auto" w:fill="auto"/>
            <w:vAlign w:val="center"/>
          </w:tcPr>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综合运维人员</w:t>
            </w:r>
          </w:p>
        </w:tc>
        <w:tc>
          <w:tcPr>
            <w:tcW w:w="734" w:type="dxa"/>
            <w:shd w:val="clear" w:color="auto" w:fill="auto"/>
            <w:noWrap/>
            <w:vAlign w:val="center"/>
          </w:tcPr>
          <w:p>
            <w:pPr>
              <w:ind w:firstLine="0" w:firstLineChars="0"/>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3827" w:type="dxa"/>
            <w:shd w:val="clear" w:color="auto" w:fill="auto"/>
            <w:vAlign w:val="center"/>
          </w:tcPr>
          <w:p>
            <w:pPr>
              <w:ind w:firstLine="422"/>
              <w:rPr>
                <w:rFonts w:ascii="仿宋" w:hAnsi="仿宋" w:eastAsia="仿宋" w:cs="仿宋"/>
                <w:color w:val="000000"/>
                <w:sz w:val="21"/>
                <w:szCs w:val="21"/>
              </w:rPr>
            </w:pPr>
            <w:r>
              <w:rPr>
                <w:rFonts w:hint="eastAsia" w:ascii="仿宋" w:hAnsi="仿宋" w:eastAsia="仿宋" w:cs="仿宋"/>
                <w:b/>
                <w:bCs/>
                <w:color w:val="000000"/>
                <w:sz w:val="21"/>
                <w:szCs w:val="21"/>
                <w:lang w:eastAsia="zh-Hans"/>
              </w:rPr>
              <w:t>服务方式：</w:t>
            </w:r>
            <w:r>
              <w:rPr>
                <w:rFonts w:ascii="仿宋" w:hAnsi="仿宋" w:eastAsia="仿宋" w:cs="仿宋"/>
                <w:color w:val="000000"/>
                <w:sz w:val="21"/>
                <w:szCs w:val="21"/>
                <w:lang w:eastAsia="zh-Hans"/>
              </w:rPr>
              <w:t>7*</w:t>
            </w:r>
            <w:r>
              <w:rPr>
                <w:rFonts w:hint="eastAsia" w:ascii="仿宋" w:hAnsi="仿宋" w:eastAsia="仿宋" w:cs="仿宋"/>
                <w:color w:val="000000"/>
                <w:sz w:val="21"/>
                <w:szCs w:val="21"/>
                <w:lang w:val="en-US" w:eastAsia="zh-CN"/>
              </w:rPr>
              <w:t>24</w:t>
            </w:r>
            <w:r>
              <w:rPr>
                <w:rFonts w:hint="eastAsia" w:ascii="仿宋" w:hAnsi="仿宋" w:eastAsia="仿宋" w:cs="仿宋"/>
                <w:color w:val="000000"/>
                <w:sz w:val="21"/>
                <w:szCs w:val="21"/>
                <w:lang w:eastAsia="zh-Hans"/>
              </w:rPr>
              <w:t>小时驻点服务</w:t>
            </w:r>
            <w:r>
              <w:rPr>
                <w:rFonts w:hint="eastAsia" w:ascii="仿宋" w:hAnsi="仿宋" w:eastAsia="仿宋" w:cs="仿宋"/>
                <w:color w:val="000000"/>
                <w:sz w:val="21"/>
                <w:szCs w:val="21"/>
              </w:rPr>
              <w:t>（按需可以采用轮班制）</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1)负责对深汕中心医院内无线路由器、防火墙、交换机、无线AP、以及网络线路的管理和维护；</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2负责设备故障的紧急处理工作，发现异常及时联络相关人员进行解决；</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3)负责对部分硬件设备的软件及资料进行定期备份及存储工作；定期对网络实体设备进行巡查并做好记录；</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4)与业务相关的外部相关技术人员进行工作对接等；</w:t>
            </w:r>
          </w:p>
          <w:p>
            <w:pPr>
              <w:ind w:firstLine="420"/>
              <w:rPr>
                <w:rFonts w:ascii="仿宋" w:hAnsi="仿宋" w:eastAsia="仿宋" w:cs="仿宋"/>
                <w:color w:val="000000"/>
                <w:sz w:val="21"/>
                <w:szCs w:val="21"/>
              </w:rPr>
            </w:pPr>
            <w:r>
              <w:rPr>
                <w:rFonts w:hint="eastAsia" w:ascii="仿宋" w:hAnsi="仿宋" w:eastAsia="仿宋" w:cs="仿宋"/>
                <w:color w:val="000000"/>
                <w:sz w:val="21"/>
                <w:szCs w:val="21"/>
              </w:rPr>
              <w:t>5)负责辖区内IP地址的规划与配置工作等；</w:t>
            </w:r>
          </w:p>
          <w:p>
            <w:pPr>
              <w:ind w:firstLine="420"/>
              <w:rPr>
                <w:rFonts w:ascii="仿宋" w:hAnsi="仿宋" w:eastAsia="仿宋" w:cs="仿宋"/>
                <w:color w:val="000000"/>
                <w:sz w:val="21"/>
                <w:szCs w:val="21"/>
              </w:rPr>
            </w:pPr>
            <w:r>
              <w:rPr>
                <w:rFonts w:ascii="仿宋" w:hAnsi="仿宋" w:eastAsia="仿宋" w:cs="仿宋"/>
                <w:color w:val="000000"/>
                <w:sz w:val="21"/>
                <w:szCs w:val="21"/>
              </w:rPr>
              <w:t>6</w:t>
            </w:r>
            <w:r>
              <w:rPr>
                <w:rFonts w:hint="eastAsia" w:ascii="仿宋" w:hAnsi="仿宋" w:eastAsia="仿宋" w:cs="仿宋"/>
                <w:color w:val="000000"/>
                <w:sz w:val="21"/>
                <w:szCs w:val="21"/>
              </w:rPr>
              <w:t>)当硬件发生故障时，及时排除故障，尽快恢复系统的运行；</w:t>
            </w:r>
          </w:p>
          <w:p>
            <w:pPr>
              <w:ind w:firstLine="420"/>
              <w:rPr>
                <w:rFonts w:ascii="仿宋" w:hAnsi="仿宋" w:eastAsia="仿宋" w:cs="仿宋"/>
                <w:color w:val="000000"/>
                <w:sz w:val="21"/>
                <w:szCs w:val="21"/>
              </w:rPr>
            </w:pPr>
            <w:r>
              <w:rPr>
                <w:rFonts w:ascii="仿宋" w:hAnsi="仿宋" w:eastAsia="仿宋" w:cs="仿宋"/>
                <w:color w:val="000000"/>
                <w:sz w:val="21"/>
                <w:szCs w:val="21"/>
              </w:rPr>
              <w:t>7</w:t>
            </w:r>
            <w:r>
              <w:rPr>
                <w:rFonts w:hint="eastAsia" w:ascii="仿宋" w:hAnsi="仿宋" w:eastAsia="仿宋" w:cs="仿宋"/>
                <w:color w:val="000000"/>
                <w:sz w:val="21"/>
                <w:szCs w:val="21"/>
              </w:rPr>
              <w:t>)定期对硬件进行例行维护，建立设备的维护档案。</w:t>
            </w:r>
          </w:p>
          <w:p>
            <w:pPr>
              <w:ind w:firstLine="420"/>
              <w:rPr>
                <w:rFonts w:ascii="仿宋" w:hAnsi="仿宋" w:eastAsia="仿宋" w:cs="仿宋"/>
                <w:color w:val="000000"/>
                <w:sz w:val="21"/>
                <w:szCs w:val="21"/>
              </w:rPr>
            </w:pPr>
            <w:r>
              <w:rPr>
                <w:rFonts w:ascii="仿宋" w:hAnsi="仿宋" w:eastAsia="仿宋" w:cs="仿宋"/>
                <w:color w:val="000000"/>
                <w:sz w:val="21"/>
                <w:szCs w:val="21"/>
              </w:rPr>
              <w:t>8</w:t>
            </w:r>
            <w:r>
              <w:rPr>
                <w:rFonts w:hint="eastAsia" w:ascii="仿宋" w:hAnsi="仿宋" w:eastAsia="仿宋" w:cs="仿宋"/>
                <w:color w:val="000000"/>
                <w:sz w:val="21"/>
                <w:szCs w:val="21"/>
              </w:rPr>
              <w:t>)检查电器连接点是否结实，用电器温度有无异常；检查机箱、显示器上的开关是否完好；</w:t>
            </w:r>
          </w:p>
          <w:p>
            <w:pPr>
              <w:ind w:firstLine="420"/>
              <w:rPr>
                <w:rFonts w:ascii="仿宋" w:hAnsi="仿宋" w:eastAsia="仿宋" w:cs="仿宋"/>
                <w:color w:val="000000"/>
                <w:sz w:val="21"/>
                <w:szCs w:val="21"/>
              </w:rPr>
            </w:pPr>
            <w:r>
              <w:rPr>
                <w:rFonts w:ascii="仿宋" w:hAnsi="仿宋" w:eastAsia="仿宋" w:cs="仿宋"/>
                <w:color w:val="000000"/>
                <w:sz w:val="21"/>
                <w:szCs w:val="21"/>
              </w:rPr>
              <w:t>9</w:t>
            </w:r>
            <w:r>
              <w:rPr>
                <w:rFonts w:hint="eastAsia" w:ascii="仿宋" w:hAnsi="仿宋" w:eastAsia="仿宋" w:cs="仿宋"/>
                <w:color w:val="000000"/>
                <w:sz w:val="21"/>
                <w:szCs w:val="21"/>
              </w:rPr>
              <w:t>)对易损物件进展常规检查，对系统进行外观和静态检查；</w:t>
            </w:r>
          </w:p>
          <w:p>
            <w:pPr>
              <w:pStyle w:val="2"/>
              <w:rPr>
                <w:rFonts w:ascii="仿宋" w:hAnsi="仿宋" w:eastAsia="仿宋" w:cs="仿宋"/>
                <w:color w:val="000000"/>
                <w:sz w:val="21"/>
                <w:szCs w:val="21"/>
              </w:rPr>
            </w:pPr>
            <w:r>
              <w:rPr>
                <w:rFonts w:ascii="仿宋" w:hAnsi="仿宋" w:eastAsia="仿宋" w:cs="仿宋"/>
                <w:color w:val="000000"/>
                <w:sz w:val="21"/>
                <w:szCs w:val="21"/>
              </w:rPr>
              <w:t>10</w:t>
            </w:r>
            <w:r>
              <w:rPr>
                <w:rFonts w:hint="eastAsia" w:ascii="仿宋" w:hAnsi="仿宋" w:eastAsia="仿宋" w:cs="仿宋"/>
                <w:color w:val="000000"/>
                <w:sz w:val="21"/>
                <w:szCs w:val="21"/>
              </w:rPr>
              <w:t>)对微机系统进行全面的动态检查，发现问题及时解决。</w:t>
            </w:r>
          </w:p>
          <w:p>
            <w:pPr>
              <w:pStyle w:val="3"/>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)按照规定时间、范围集中精力严密观察,对异常可疑情况作好记录并录象；</w:t>
            </w:r>
          </w:p>
        </w:tc>
        <w:tc>
          <w:tcPr>
            <w:tcW w:w="2447" w:type="dxa"/>
            <w:shd w:val="clear" w:color="auto" w:fill="auto"/>
            <w:noWrap/>
            <w:vAlign w:val="center"/>
          </w:tcPr>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1)要求熟悉掌握综合布线相关内容，熟悉网络架构、组成等；</w:t>
            </w:r>
          </w:p>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2)对无线路由器、无线AP、交换机等设备有清楚的认知；</w:t>
            </w:r>
          </w:p>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3)要求具备独立制作网络水晶头、完成光缆熔纤等实操技能；</w:t>
            </w:r>
          </w:p>
          <w:p>
            <w:pPr>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4)能够独立解决综合布线系统中出现的相关问题；</w:t>
            </w:r>
          </w:p>
          <w:p>
            <w:pPr>
              <w:ind w:firstLine="0" w:firstLineChars="0"/>
              <w:rPr>
                <w:rFonts w:hint="eastAsia" w:ascii="仿宋" w:hAnsi="仿宋" w:eastAsia="仿宋" w:cs="仿宋"/>
                <w:color w:val="000000"/>
                <w:sz w:val="21"/>
                <w:szCs w:val="21"/>
              </w:rPr>
            </w:pPr>
            <w:r>
              <w:rPr>
                <w:rFonts w:ascii="仿宋" w:hAnsi="仿宋" w:eastAsia="仿宋" w:cs="仿宋"/>
                <w:color w:val="000000"/>
                <w:sz w:val="21"/>
                <w:szCs w:val="21"/>
              </w:rPr>
              <w:t>5</w:t>
            </w:r>
            <w:r>
              <w:rPr>
                <w:rFonts w:hint="eastAsia" w:ascii="仿宋" w:hAnsi="仿宋" w:eastAsia="仿宋" w:cs="仿宋"/>
                <w:color w:val="000000"/>
                <w:sz w:val="21"/>
                <w:szCs w:val="21"/>
              </w:rPr>
              <w:t>)要求熟悉桌面终端设备(包含但不限于台式电脑、笔记本电脑、打印机等)具有相关工作经验；</w:t>
            </w:r>
          </w:p>
          <w:p>
            <w:pPr>
              <w:ind w:firstLine="0" w:firstLineChars="0"/>
              <w:rPr>
                <w:rFonts w:hint="eastAsia" w:ascii="仿宋" w:hAnsi="仿宋" w:eastAsia="仿宋" w:cs="仿宋"/>
                <w:color w:val="000000"/>
                <w:sz w:val="21"/>
                <w:szCs w:val="21"/>
              </w:rPr>
            </w:pPr>
            <w:r>
              <w:rPr>
                <w:rFonts w:ascii="仿宋" w:hAnsi="仿宋" w:eastAsia="仿宋" w:cs="仿宋"/>
                <w:color w:val="000000"/>
                <w:sz w:val="21"/>
                <w:szCs w:val="21"/>
              </w:rPr>
              <w:t>6</w:t>
            </w:r>
            <w:r>
              <w:rPr>
                <w:rFonts w:hint="eastAsia" w:ascii="仿宋" w:hAnsi="仿宋" w:eastAsia="仿宋" w:cs="仿宋"/>
                <w:color w:val="000000"/>
                <w:sz w:val="21"/>
                <w:szCs w:val="21"/>
              </w:rPr>
              <w:t>)熟练掌握服务器、网络设备、安全设备、操作系统等知识；</w:t>
            </w:r>
          </w:p>
          <w:p>
            <w:pPr>
              <w:ind w:firstLine="0" w:firstLineChars="0"/>
              <w:rPr>
                <w:rFonts w:hint="eastAsia" w:ascii="仿宋" w:hAnsi="仿宋" w:eastAsia="仿宋" w:cs="仿宋"/>
                <w:color w:val="000000"/>
                <w:sz w:val="21"/>
                <w:szCs w:val="21"/>
              </w:rPr>
            </w:pPr>
            <w:r>
              <w:rPr>
                <w:rFonts w:ascii="仿宋" w:hAnsi="仿宋" w:eastAsia="仿宋" w:cs="仿宋"/>
                <w:color w:val="000000"/>
                <w:sz w:val="21"/>
                <w:szCs w:val="21"/>
              </w:rPr>
              <w:t>7</w:t>
            </w:r>
            <w:r>
              <w:rPr>
                <w:rFonts w:hint="eastAsia" w:ascii="仿宋" w:hAnsi="仿宋" w:eastAsia="仿宋" w:cs="仿宋"/>
                <w:color w:val="000000"/>
                <w:sz w:val="21"/>
                <w:szCs w:val="21"/>
              </w:rPr>
              <w:t>)要求熟悉视频会议等智能化系统；</w:t>
            </w:r>
          </w:p>
          <w:p>
            <w:pPr>
              <w:ind w:firstLine="0" w:firstLineChars="0"/>
              <w:rPr>
                <w:rFonts w:hint="eastAsia" w:ascii="仿宋" w:hAnsi="仿宋" w:eastAsia="仿宋" w:cs="仿宋"/>
                <w:color w:val="000000"/>
                <w:sz w:val="21"/>
                <w:szCs w:val="21"/>
              </w:rPr>
            </w:pPr>
            <w:r>
              <w:rPr>
                <w:rFonts w:ascii="仿宋" w:hAnsi="仿宋" w:eastAsia="仿宋" w:cs="仿宋"/>
                <w:color w:val="000000"/>
                <w:sz w:val="21"/>
                <w:szCs w:val="21"/>
              </w:rPr>
              <w:t>8</w:t>
            </w:r>
            <w:r>
              <w:rPr>
                <w:rFonts w:hint="eastAsia" w:ascii="仿宋" w:hAnsi="仿宋" w:eastAsia="仿宋" w:cs="仿宋"/>
                <w:color w:val="000000"/>
                <w:sz w:val="21"/>
                <w:szCs w:val="21"/>
              </w:rPr>
              <w:t>)熟悉智能化网络架构且具备相关工作经验；</w:t>
            </w:r>
          </w:p>
          <w:p>
            <w:pPr>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)具备良好的沟通能力、能够制定设备维修方案或有相关智能化设备厂家工作经验。</w:t>
            </w:r>
          </w:p>
        </w:tc>
      </w:tr>
    </w:tbl>
    <w:p>
      <w:pPr>
        <w:pStyle w:val="5"/>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578" w:hanging="578"/>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四、服务内容及指标</w:t>
      </w:r>
    </w:p>
    <w:p>
      <w:pPr>
        <w:pStyle w:val="6"/>
        <w:pageBreakBefore w:val="0"/>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4.1具体服务内容及要求（包括但不限于）：</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1、成交人在合同/协议期内承担对院方正在使用的办公电脑、打印机和其他外设等硬件及计算机常用软件（如操作系统 WINDOWS、办公OFFICE软件、多媒体软件、医院简单应用软件等）的维护保养责任。</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4"/>
          <w:szCs w:val="24"/>
          <w:highlight w:val="none"/>
          <w:lang w:val="zh-CN"/>
        </w:rPr>
        <w:t>2、成交人应为采购人即院方的电脑、外设以及相关IT设备建立一套完整的科学的管理档案资料，存于成交人IT运维系统设备资产档案库中（不得向第三方透露），以便合理的、科学的管理院方设备的正常使用，并为定期科学管理、维护保养设备提供必要的依据。</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3、成交人对所有的设备建立档案后，应记录设备使用情况、服务请求执行记录和维修备件替换情况等信息，并记录每个服务请求的响应时间、排除故障时间。</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成交人保证严格保守院方商业秘密（包括但不限于成交人为院方服务过程中获得的各种文件、报告、技术资料、经营信息、客户信息等），在未取得院方书面同意的情况下，成交人不得以任何方式让任何第三方获知上述秘密。成交人在进行常规维护时，应遵守院方有关管理规定，所涉及院方的商业秘密，均属院方产权，未经院方书面同意，成交人不得以任何形式或介质获取。</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、排除故障时, 成交人应根据实际情况提出最佳应急方法及备选方案，能即时解决的应现场解决，现场平均解决时间不超过</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小时；非现场能处理的故障并且不需送院外维修的，24小时之内维修好；判断为硬件故障的，需要送院外（第三方维修除外）维修的，48时之内维修好；特殊情况未能在响应时间内处理完成的，必须立即向用户院方相关管理部门汇报。成交人无法解决故障或所需解决时间多于48小时的，院方有权聘请第三方消除障碍，由此产生的费用及责任由成交人承担。</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成交人应安排熟练的技术人员进行驻场服务，并且能提供较好的服务质量。成交人技术人员在院方现场工作、活动时，需遵守院方的各项规章管理制度，听从有关人员的工作安排和引导；上班时间到主要服务对象处如门诊等重要科室巡查，主动解决问题；接到故障通知，应第一时间赶到现场，确定问题原因，如果属于服务范围内的按流程维修，否则通知院方相关管理部门处理。</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rPr>
        <w:t>、成交人对院方设备应用软件的疑难问题将进行必要的技术支持。</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采购人的业务系统、专用软件及采购人内部开发、订制的软件不属保养范围，但成交人有义务在必要时协助采购人安装不同的应用软件，提供相应的操作系统软件环境，并提供一定的指导使用。发生故障时，成交人有义务协助相关责任供应商服务转移交接工作或通知院方相关管理部门处理。</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CN"/>
        </w:rPr>
        <w:t>、对未过厂家保修期的设备，发生故障时由成交人先行了解并作出判断，需要时应协助采购人直接通知相关保修公司进行保修维护；对于达到报废年限的设备，成交人免费为采购人提供技术评估，确定满足报废条件的，由采购人执行报废流程，成交人应提供必要协助，统一处理。</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rPr>
        <w:t>、成交人在协议期内每年度服务结束后应向采购人提交年度维保总结报告，包括但不限于采购人投保设备的运行情况、维修、保养、更换零配件情况等。</w:t>
      </w:r>
    </w:p>
    <w:p>
      <w:pPr>
        <w:pStyle w:val="1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trike w:val="0"/>
          <w:sz w:val="24"/>
          <w:szCs w:val="24"/>
          <w:highlight w:val="none"/>
          <w:lang w:val="zh-CN"/>
        </w:rPr>
      </w:pPr>
      <w:r>
        <w:rPr>
          <w:rFonts w:hint="eastAsia" w:ascii="宋体" w:hAnsi="宋体" w:eastAsia="宋体" w:cs="宋体"/>
          <w:sz w:val="24"/>
          <w:szCs w:val="24"/>
          <w:highlight w:val="none"/>
          <w:lang w:val="zh-CN" w:eastAsia="zh-CN"/>
        </w:rPr>
        <w:t>11、成交人</w:t>
      </w:r>
      <w:r>
        <w:rPr>
          <w:rFonts w:hint="eastAsia" w:ascii="宋体" w:hAnsi="宋体" w:eastAsia="宋体" w:cs="宋体"/>
          <w:strike w:val="0"/>
          <w:sz w:val="24"/>
          <w:szCs w:val="24"/>
          <w:highlight w:val="none"/>
          <w:lang w:val="zh-CN"/>
        </w:rPr>
        <w:t>必须建立完善的员工绩效考核制度，内容包括但不限于对员工出勤、工作量、满意度、响应速度、服务态度、返修率、工作效率等一系列考核管理内容，由</w:t>
      </w:r>
      <w:r>
        <w:rPr>
          <w:rFonts w:hint="eastAsia" w:ascii="宋体" w:hAnsi="宋体" w:eastAsia="宋体" w:cs="宋体"/>
          <w:strike w:val="0"/>
          <w:sz w:val="24"/>
          <w:szCs w:val="24"/>
          <w:highlight w:val="none"/>
          <w:lang w:val="zh-CN" w:eastAsia="zh-CN"/>
        </w:rPr>
        <w:t>成交人</w:t>
      </w:r>
      <w:r>
        <w:rPr>
          <w:rFonts w:hint="eastAsia" w:ascii="宋体" w:hAnsi="宋体" w:eastAsia="宋体" w:cs="宋体"/>
          <w:strike w:val="0"/>
          <w:sz w:val="24"/>
          <w:szCs w:val="24"/>
          <w:highlight w:val="none"/>
          <w:lang w:val="zh-CN"/>
        </w:rPr>
        <w:t>项目负责人负责每月对员工进行考评，结合医院</w:t>
      </w:r>
      <w:r>
        <w:rPr>
          <w:rFonts w:hint="eastAsia" w:ascii="宋体" w:hAnsi="宋体" w:cs="宋体"/>
          <w:strike w:val="0"/>
          <w:sz w:val="24"/>
          <w:szCs w:val="24"/>
          <w:highlight w:val="none"/>
          <w:lang w:val="zh-CN"/>
        </w:rPr>
        <w:t>信息与网络管理中心</w:t>
      </w:r>
      <w:r>
        <w:rPr>
          <w:rFonts w:hint="eastAsia" w:ascii="宋体" w:hAnsi="宋体" w:eastAsia="宋体" w:cs="宋体"/>
          <w:strike w:val="0"/>
          <w:sz w:val="24"/>
          <w:szCs w:val="24"/>
          <w:highlight w:val="none"/>
          <w:lang w:val="zh-CN"/>
        </w:rPr>
        <w:t>的意见，及时兑现对员工绩效优、劣的奖罚，保证员工工作积极性</w:t>
      </w:r>
      <w:r>
        <w:rPr>
          <w:rFonts w:hint="eastAsia" w:ascii="宋体" w:hAnsi="宋体" w:eastAsia="宋体" w:cs="宋体"/>
          <w:strike w:val="0"/>
          <w:sz w:val="24"/>
          <w:szCs w:val="24"/>
          <w:highlight w:val="none"/>
          <w:lang w:val="zh-CN" w:eastAsia="zh-CN"/>
        </w:rPr>
        <w:t>,，如</w:t>
      </w:r>
      <w:r>
        <w:rPr>
          <w:rFonts w:hint="eastAsia" w:ascii="宋体" w:hAnsi="宋体" w:eastAsia="宋体" w:cs="宋体"/>
          <w:sz w:val="24"/>
          <w:szCs w:val="24"/>
          <w:highlight w:val="none"/>
          <w:lang w:val="zh-CN"/>
        </w:rPr>
        <w:t>发现服务不合要求的员工并进行适当处理（如批评教育、培训、更换或淘汰等）。若采购人对成交人某一技术人员的技术能力和服务态度书面投诉3次或以上，经采购人查实并通知成交人后，成交人必须作出妥善解决措施，如未能及时采取有效措施消除影响的，成交人应予更换合格的技术人员。</w:t>
      </w:r>
    </w:p>
    <w:p>
      <w:pPr>
        <w:pStyle w:val="1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p>
    <w:p>
      <w:pPr>
        <w:pStyle w:val="6"/>
        <w:pageBreakBefore w:val="0"/>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4.2设备硬件外送维修事项，送外维修流程：</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1.判断硬件损坏。判断硬件损坏，需送外维修时，用户</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需进行核查。</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（1）电脑主机外送条件：</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①电源测试，更换一个新的电源，如电源问题导致无法开机，无需送外。</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②更换可用电源还是开机没反应或者硬件自检不能通过，可送外维修。</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③特殊情况机器除外（如经排除操作系统问题之外开机自动重启、死机等情况）。</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（2）显示器外送条件：</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①开机无法通电。</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②其他问题（如不稳定一闪一闪等）。</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（3）打印机外送条件：</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①针式打印机断针，现场换针，无需送外。</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②其他非耗材导致无法打印的。</w:t>
      </w:r>
    </w:p>
    <w:p>
      <w:pPr>
        <w:pageBreakBefore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）电</w:t>
      </w:r>
      <w:r>
        <w:rPr>
          <w:rFonts w:hint="eastAsia" w:ascii="宋体" w:hAnsi="宋体" w:cs="宋体"/>
          <w:sz w:val="24"/>
          <w:szCs w:val="24"/>
          <w:highlight w:val="none"/>
          <w:lang w:val="en-US" w:eastAsia="zh-CN"/>
        </w:rPr>
        <w:t>视</w:t>
      </w:r>
      <w:r>
        <w:rPr>
          <w:rFonts w:hint="eastAsia" w:ascii="宋体" w:hAnsi="宋体" w:eastAsia="宋体" w:cs="宋体"/>
          <w:sz w:val="24"/>
          <w:szCs w:val="24"/>
          <w:highlight w:val="none"/>
          <w:lang w:val="zh-CN"/>
        </w:rPr>
        <w:t>外送条件：</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①电源测试，更换一个新的电源，如电源问题导致无法开机，无需送外。</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②更换可用电源还是开机没反应或者硬件自检不能通过，可送外维修。</w:t>
      </w:r>
    </w:p>
    <w:p>
      <w:pPr>
        <w:pStyle w:val="2"/>
        <w:spacing w:line="360" w:lineRule="auto"/>
        <w:rPr>
          <w:rFonts w:hint="eastAsia"/>
          <w:lang w:val="zh-CN"/>
        </w:rPr>
      </w:pPr>
      <w:r>
        <w:rPr>
          <w:rFonts w:hint="eastAsia" w:ascii="宋体" w:hAnsi="宋体" w:eastAsia="宋体" w:cs="宋体"/>
          <w:sz w:val="24"/>
          <w:szCs w:val="24"/>
          <w:highlight w:val="none"/>
          <w:lang w:val="zh-CN"/>
        </w:rPr>
        <w:t xml:space="preserve">     ③</w:t>
      </w:r>
      <w:r>
        <w:rPr>
          <w:rFonts w:hint="eastAsia" w:ascii="宋体" w:hAnsi="宋体" w:cs="宋体"/>
          <w:sz w:val="24"/>
          <w:szCs w:val="24"/>
          <w:highlight w:val="none"/>
          <w:lang w:val="en-US" w:eastAsia="zh-CN"/>
        </w:rPr>
        <w:t>电视屏幕损坏或者出现花屏等</w:t>
      </w:r>
      <w:r>
        <w:rPr>
          <w:rFonts w:hint="eastAsia" w:ascii="宋体" w:hAnsi="宋体" w:eastAsia="宋体" w:cs="宋体"/>
          <w:sz w:val="24"/>
          <w:szCs w:val="24"/>
          <w:highlight w:val="none"/>
          <w:lang w:val="zh-CN"/>
        </w:rPr>
        <w:t>，可送外维修。</w:t>
      </w:r>
    </w:p>
    <w:p>
      <w:pPr>
        <w:pStyle w:val="2"/>
        <w:rPr>
          <w:rFonts w:hint="eastAsia"/>
          <w:lang w:val="zh-CN"/>
        </w:rPr>
      </w:pPr>
      <w:r>
        <w:rPr>
          <w:rFonts w:hint="eastAsia" w:ascii="宋体" w:hAnsi="宋体" w:eastAsia="宋体" w:cs="宋体"/>
          <w:sz w:val="24"/>
          <w:szCs w:val="24"/>
          <w:highlight w:val="none"/>
          <w:lang w:val="zh-CN"/>
        </w:rPr>
        <w:t xml:space="preserve">     ③特殊情况机器除外（如经排除操作系统问题之外开机自动重启、死机等情况）。</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2.经用户</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确认已过保修期的机器。</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3.由成交人驻守工程师搬至用户</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安排的维修场所。</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4.专人登记机器编码，判断损坏配件元件并做好记录。</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出具放行条。</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6.维修好的设备由成交人驻守工程师送回</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安排的维修场所，测试正常后，驻守工程师送回原使用科室，并且帮助使用科室将设备连接好，启动设备，试验正常工作后才算完成。</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7.属于服务范围内的送外维修签单，应在测试正常后，送到使用科室并要求负责人在维修签单上签名。属于服务范围外的送外维修费用签单，应在测试正常后，由用户</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负责人签名，再与设备一齐送到使用科室并要求负责人在维修费用签单上签名。</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8.如需要更换配件，更换配件必须保证为原装配件，如有特殊情况，必须与</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协商认可后更换与原配件应用功能与技术指标相近的配件。</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9.采购人的院领导、人事、财务、纪委监察等敏感部门电脑硬件坏需要送外修时，必须有采购人信息数据中心人员在场情况下把硬盘拆下再外送。</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10.成交人未遵守送外维修流程及成交人送外维修导致采购人遭受损失的，需承担违约责任，应全额赔偿采购人损失。</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val="zh-CN"/>
        </w:rPr>
        <w:t>成交人如协助本合同范围外维修,其维修费用可另计,但必须事前向采购人</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汇报，经书面同意后方能按采购人医院的采购、维修流程进行维修，否则采购人有权拒绝向成交人支付相关费用。</w:t>
      </w:r>
    </w:p>
    <w:p>
      <w:pPr>
        <w:pStyle w:val="6"/>
        <w:pageBreakBefore w:val="0"/>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4.3服务团队规范要求：</w:t>
      </w:r>
    </w:p>
    <w:p>
      <w:pPr>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1、维护及配送人员衣着要整洁，佩戴胸卡，使用礼貌用语，不得使用服务禁语；</w:t>
      </w:r>
    </w:p>
    <w:p>
      <w:pPr>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2、现场服务时，严格遵守医院内部各项规章制度，与采购人相关人员充分沟通，态度诚恳地解答客户提出的相关问题，不得做出有损我院形象和利益的事情。</w:t>
      </w:r>
    </w:p>
    <w:p>
      <w:pPr>
        <w:pageBreakBefore w:val="0"/>
        <w:kinsoku/>
        <w:wordWrap/>
        <w:overflowPunct/>
        <w:topLinePunct w:val="0"/>
        <w:autoSpaceDE/>
        <w:autoSpaceDN/>
        <w:bidi w:val="0"/>
        <w:spacing w:line="360" w:lineRule="auto"/>
        <w:ind w:firstLine="283" w:firstLineChars="118"/>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3、尊重用户个人隐私，保守医院秘密，由于泄密造成采购人损失的，成交人将承担由此产生的一切损失和法律责任。</w:t>
      </w:r>
    </w:p>
    <w:p>
      <w:pPr>
        <w:pStyle w:val="6"/>
        <w:pageBreakBefore w:val="0"/>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4.4建立报障服务台</w:t>
      </w:r>
    </w:p>
    <w:p>
      <w:pPr>
        <w:pStyle w:val="7"/>
        <w:pageBreakBefore w:val="0"/>
        <w:tabs>
          <w:tab w:val="left" w:pos="851"/>
        </w:tabs>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4.4.1服务内容</w:t>
      </w:r>
    </w:p>
    <w:p>
      <w:pPr>
        <w:pageBreakBefore w:val="0"/>
        <w:kinsoku/>
        <w:wordWrap/>
        <w:overflowPunct/>
        <w:topLinePunct w:val="0"/>
        <w:autoSpaceDE/>
        <w:autoSpaceDN/>
        <w:bidi w:val="0"/>
        <w:spacing w:line="360" w:lineRule="auto"/>
        <w:ind w:left="2" w:leftChars="1"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中山大学孙逸仙纪念医院内建立统一的信息报障服务中心（服务台），安排1名服务台坐席人员为终端用户提供报障热线电话的接听、任务分派、调度、故障咨询、技术知识咨询、简单故障电话指导处理以及对故障事件的录入和跟踪。</w:t>
      </w:r>
    </w:p>
    <w:p>
      <w:pPr>
        <w:pStyle w:val="7"/>
        <w:pageBreakBefore w:val="0"/>
        <w:tabs>
          <w:tab w:val="left" w:pos="851"/>
        </w:tabs>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4.4.2服务要求及指标</w:t>
      </w:r>
    </w:p>
    <w:p>
      <w:pPr>
        <w:pageBreakBefore w:val="0"/>
        <w:widowControl/>
        <w:numPr>
          <w:ilvl w:val="0"/>
          <w:numId w:val="6"/>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电话接听延时≤</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分钟，故障录入率在99%以上；</w:t>
      </w:r>
    </w:p>
    <w:p>
      <w:pPr>
        <w:pageBreakBefore w:val="0"/>
        <w:widowControl/>
        <w:numPr>
          <w:ilvl w:val="0"/>
          <w:numId w:val="6"/>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现场服务台是医院信息化服务的唯一窗口，对医院提供服务受理和进度查询以及结果反馈的窗口服务，对本项目和已被书面授权协助跟踪的其他项目服务履行监督和质量管理，事件升级及提醒职能，承担监管服务状态和反馈服务结果的服务。</w:t>
      </w:r>
    </w:p>
    <w:p>
      <w:pPr>
        <w:pageBreakBefore w:val="0"/>
        <w:widowControl/>
        <w:numPr>
          <w:ilvl w:val="0"/>
          <w:numId w:val="6"/>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服务台座席接听电话或者接受信息同时需要将信息录入系统生成服务工单。</w:t>
      </w:r>
      <w:r>
        <w:rPr>
          <w:rFonts w:hint="eastAsia" w:ascii="宋体" w:hAnsi="宋体" w:eastAsia="宋体" w:cs="宋体"/>
          <w:sz w:val="24"/>
          <w:szCs w:val="24"/>
          <w:highlight w:val="none"/>
          <w:lang w:val="en-US" w:eastAsia="zh-CN"/>
        </w:rPr>
        <w:t>未经服务台的</w:t>
      </w:r>
      <w:r>
        <w:rPr>
          <w:rFonts w:hint="eastAsia" w:ascii="宋体" w:hAnsi="宋体" w:eastAsia="宋体" w:cs="宋体"/>
          <w:sz w:val="24"/>
          <w:szCs w:val="24"/>
          <w:highlight w:val="none"/>
          <w:lang w:val="zh-CN"/>
        </w:rPr>
        <w:t>其他途径或者方式报修，均须将信息录入系统生成服务工单，未经服务台录入系统产生的工单若发生投诉，一律视为有效投诉。</w:t>
      </w:r>
    </w:p>
    <w:p>
      <w:pPr>
        <w:pageBreakBefore w:val="0"/>
        <w:widowControl/>
        <w:numPr>
          <w:ilvl w:val="0"/>
          <w:numId w:val="6"/>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驻场工程师服务后当天必须备注工单和向服务台汇报服务过程或结果，完成的工单当天必须关单，未能完成工单必须备注说明原因以及预估下次处理时间。</w:t>
      </w:r>
    </w:p>
    <w:p>
      <w:pPr>
        <w:pageBreakBefore w:val="0"/>
        <w:widowControl/>
        <w:numPr>
          <w:ilvl w:val="0"/>
          <w:numId w:val="6"/>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当发现故障非本项目全保服务范围时，系统关单同时关联生成新的工单，服务台委派相应其他服务供应商或相应负责人跟进处理。</w:t>
      </w:r>
    </w:p>
    <w:p>
      <w:pPr>
        <w:pageBreakBefore w:val="0"/>
        <w:widowControl/>
        <w:numPr>
          <w:ilvl w:val="0"/>
          <w:numId w:val="6"/>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服务台坐席人员每天下班前必须跟进一次本项目和已被书面授权协助跟踪的其他项目未完成服务的处理状态或结果直到最后完成关单为止。</w:t>
      </w:r>
    </w:p>
    <w:p>
      <w:pPr>
        <w:pStyle w:val="6"/>
        <w:pageBreakBefore w:val="0"/>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4.5电脑及配套外设硬件维护服务</w:t>
      </w:r>
    </w:p>
    <w:p>
      <w:pPr>
        <w:pStyle w:val="7"/>
        <w:pageBreakBefore w:val="0"/>
        <w:tabs>
          <w:tab w:val="left" w:pos="851"/>
        </w:tabs>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4.5.1服务内容</w:t>
      </w:r>
    </w:p>
    <w:p>
      <w:pPr>
        <w:pageBreakBefore w:val="0"/>
        <w:kinsoku/>
        <w:wordWrap/>
        <w:overflowPunct/>
        <w:topLinePunct w:val="0"/>
        <w:autoSpaceDE/>
        <w:autoSpaceDN/>
        <w:bidi w:val="0"/>
        <w:spacing w:line="360" w:lineRule="auto"/>
        <w:ind w:firstLine="566" w:firstLineChars="236"/>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负责电脑及配套外设的硬件维护</w:t>
      </w:r>
      <w:r>
        <w:rPr>
          <w:rFonts w:hint="eastAsia" w:ascii="宋体" w:hAnsi="宋体" w:cs="宋体"/>
          <w:sz w:val="24"/>
          <w:szCs w:val="24"/>
          <w:highlight w:val="none"/>
          <w:lang w:val="en-US" w:eastAsia="zh-CN"/>
        </w:rPr>
        <w:t>以及简单的网络运维</w:t>
      </w:r>
      <w:r>
        <w:rPr>
          <w:rFonts w:hint="eastAsia" w:ascii="宋体" w:hAnsi="宋体" w:eastAsia="宋体" w:cs="宋体"/>
          <w:sz w:val="24"/>
          <w:szCs w:val="24"/>
          <w:highlight w:val="none"/>
          <w:lang w:val="zh-CN"/>
        </w:rPr>
        <w:t>，设备范围包括：台式电脑、打印机、显示器等各类硬件安装、调试、维护、故障检测、问题排除等。</w:t>
      </w:r>
    </w:p>
    <w:p>
      <w:pPr>
        <w:pStyle w:val="7"/>
        <w:pageBreakBefore w:val="0"/>
        <w:tabs>
          <w:tab w:val="left" w:pos="851"/>
        </w:tabs>
        <w:kinsoku/>
        <w:wordWrap/>
        <w:overflowPunct/>
        <w:topLinePunct w:val="0"/>
        <w:autoSpaceDE/>
        <w:autoSpaceDN/>
        <w:bidi w:val="0"/>
        <w:spacing w:before="0" w:after="0" w:line="360" w:lineRule="auto"/>
        <w:textAlignment w:val="auto"/>
        <w:rPr>
          <w:rFonts w:hint="eastAsia" w:ascii="宋体" w:hAnsi="宋体" w:eastAsia="宋体" w:cs="宋体"/>
          <w:b/>
          <w:bCs/>
          <w:sz w:val="24"/>
          <w:szCs w:val="24"/>
          <w:highlight w:val="none"/>
          <w:lang w:val="zh-CN"/>
        </w:rPr>
      </w:pPr>
      <w:r>
        <w:rPr>
          <w:rFonts w:hint="eastAsia" w:ascii="宋体" w:hAnsi="宋体" w:eastAsia="宋体" w:cs="宋体"/>
          <w:b w:val="0"/>
          <w:bCs w:val="0"/>
          <w:sz w:val="24"/>
          <w:szCs w:val="24"/>
          <w:highlight w:val="none"/>
          <w:lang w:val="zh-CN"/>
        </w:rPr>
        <w:t>▲</w:t>
      </w:r>
      <w:r>
        <w:rPr>
          <w:rFonts w:hint="eastAsia" w:ascii="宋体" w:hAnsi="宋体" w:eastAsia="宋体" w:cs="宋体"/>
          <w:b/>
          <w:bCs/>
          <w:sz w:val="24"/>
          <w:szCs w:val="24"/>
          <w:highlight w:val="none"/>
          <w:lang w:val="zh-CN"/>
        </w:rPr>
        <w:t>4.5.2服务指标及要求（需提供承诺函并加盖响应人公章，格式自拟）：</w:t>
      </w:r>
    </w:p>
    <w:p>
      <w:pPr>
        <w:pageBreakBefore w:val="0"/>
        <w:widowControl/>
        <w:numPr>
          <w:ilvl w:val="0"/>
          <w:numId w:val="7"/>
        </w:numPr>
        <w:kinsoku/>
        <w:wordWrap/>
        <w:overflowPunct/>
        <w:topLinePunct w:val="0"/>
        <w:autoSpaceDE/>
        <w:autoSpaceDN/>
        <w:bidi w:val="0"/>
        <w:spacing w:line="360" w:lineRule="auto"/>
        <w:ind w:left="42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要求接到报修通知后30分钟内（临床及一线科室平均响应时间为15分钟内、行政后勤等办公平均响应时间为30分钟内）到达故障现场进行了解和处理。</w:t>
      </w:r>
    </w:p>
    <w:p>
      <w:pPr>
        <w:pageBreakBefore w:val="0"/>
        <w:widowControl/>
        <w:numPr>
          <w:ilvl w:val="0"/>
          <w:numId w:val="7"/>
        </w:numPr>
        <w:kinsoku/>
        <w:wordWrap/>
        <w:overflowPunct/>
        <w:topLinePunct w:val="0"/>
        <w:autoSpaceDE/>
        <w:autoSpaceDN/>
        <w:bidi w:val="0"/>
        <w:spacing w:line="360" w:lineRule="auto"/>
        <w:ind w:left="42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现场能处理的故障平均不超过4小时内解决；非现场能处理的故障并且不需送院外维修的，1个工作日之内维修好；判断为硬件故障的，需要送院外（第三方维修除外）维修的，必要时提供备用设备给予故障科室，并5个工作日之内维修好。</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4.6 维护服务</w:t>
      </w: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4.6.1服务内容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人需要负责电脑各类系统软件、工具及办公应用软件、驱动程序等安装、配置、升级与维护服务（所用正版软件均由采购人提供），简单的路由器与交换机故障检测及处理；并确保用户数据安全及硬盘数据的修复（硬盘数据恢复费用另计）</w:t>
      </w: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以及</w:t>
      </w:r>
      <w:r>
        <w:rPr>
          <w:rFonts w:hint="eastAsia" w:ascii="宋体" w:hAnsi="宋体" w:eastAsia="宋体" w:cs="宋体"/>
          <w:bCs/>
          <w:snapToGrid w:val="0"/>
          <w:sz w:val="24"/>
          <w:szCs w:val="24"/>
          <w:highlight w:val="none"/>
        </w:rPr>
        <w:t>机房维保、基础网络维保服务</w:t>
      </w:r>
      <w:r>
        <w:rPr>
          <w:rFonts w:hint="eastAsia" w:ascii="宋体" w:hAnsi="宋体" w:eastAsia="宋体" w:cs="宋体"/>
          <w:sz w:val="24"/>
          <w:szCs w:val="24"/>
          <w:highlight w:val="none"/>
          <w:lang w:val="zh-CN"/>
        </w:rPr>
        <w:t>。</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1、软件维护服务：</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成交人向采购人提供操作系统软件维护服务：</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（1）计算机、打印机等桌面终端设备操作系统及办公软件、工具软件、驱动程序的安装、配置、调试、升级、卸载及故障修复等维护；</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（2）计算机、打印机等桌面终端设备安全软件安装检测、风险清除、预防设置及版本升级等协助维护；</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（3）配合计算机、打印机等桌面终端设备用户进行信息数据的备份、迁移等；</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（4）协助医院业务应用系统终端环境的安装、配置、调试及简单故障配合修复等；</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（5）计算机、打印机等桌面终端设备应用知识咨询，包括讲解、指导、示范等辅助服务；</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（6）经采购人同意的其他维护操作。</w:t>
      </w:r>
    </w:p>
    <w:p>
      <w:pPr>
        <w:pStyle w:val="9"/>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2、协助采购人</w:t>
      </w:r>
      <w:r>
        <w:rPr>
          <w:rFonts w:hint="eastAsia" w:ascii="宋体" w:hAnsi="宋体" w:cs="宋体"/>
          <w:sz w:val="24"/>
          <w:szCs w:val="24"/>
          <w:highlight w:val="none"/>
          <w:lang w:val="en-US" w:eastAsia="zh-CN"/>
        </w:rPr>
        <w:t>基础</w:t>
      </w:r>
      <w:r>
        <w:rPr>
          <w:rFonts w:hint="eastAsia" w:ascii="宋体" w:hAnsi="宋体" w:eastAsia="宋体" w:cs="宋体"/>
          <w:sz w:val="24"/>
          <w:szCs w:val="24"/>
          <w:highlight w:val="none"/>
          <w:lang w:val="zh-CN"/>
        </w:rPr>
        <w:t>网络维护等工作内容</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（1）最下层的简单路由器与交换机故障检测及定位；</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（2）桌面终端电脑的网络和跳线（桌面电脑至面板间跳线）检测维护；</w:t>
      </w:r>
    </w:p>
    <w:p>
      <w:pPr>
        <w:pStyle w:val="16"/>
        <w:ind w:left="0" w:leftChars="0" w:firstLine="420" w:firstLineChars="0"/>
        <w:rPr>
          <w:rFonts w:hint="eastAsia" w:ascii="宋体" w:hAnsi="宋体" w:eastAsia="宋体" w:cs="宋体"/>
          <w:snapToGrid w:val="0"/>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维护</w:t>
      </w:r>
      <w:r>
        <w:rPr>
          <w:rFonts w:hint="eastAsia" w:ascii="宋体" w:hAnsi="宋体" w:eastAsia="宋体" w:cs="宋体"/>
          <w:snapToGrid w:val="0"/>
          <w:sz w:val="24"/>
          <w:szCs w:val="24"/>
          <w:highlight w:val="none"/>
        </w:rPr>
        <w:t>网络交换机，包括核心、汇聚和接入层交换机</w:t>
      </w:r>
      <w:r>
        <w:rPr>
          <w:rFonts w:hint="eastAsia" w:ascii="宋体" w:hAnsi="宋体" w:eastAsia="宋体" w:cs="宋体"/>
          <w:snapToGrid w:val="0"/>
          <w:sz w:val="24"/>
          <w:szCs w:val="24"/>
          <w:highlight w:val="none"/>
          <w:lang w:val="en-US" w:eastAsia="zh-CN"/>
        </w:rPr>
        <w:t>以及</w:t>
      </w:r>
      <w:r>
        <w:rPr>
          <w:rFonts w:hint="eastAsia" w:ascii="宋体" w:hAnsi="宋体" w:eastAsia="宋体" w:cs="宋体"/>
          <w:sz w:val="24"/>
          <w:szCs w:val="24"/>
          <w:highlight w:val="none"/>
          <w:lang w:val="en-US" w:eastAsia="zh-CN"/>
        </w:rPr>
        <w:t>维护</w:t>
      </w:r>
      <w:r>
        <w:rPr>
          <w:rFonts w:hint="eastAsia" w:ascii="宋体" w:hAnsi="宋体" w:eastAsia="宋体" w:cs="宋体"/>
          <w:snapToGrid w:val="0"/>
          <w:sz w:val="24"/>
          <w:szCs w:val="24"/>
          <w:highlight w:val="none"/>
        </w:rPr>
        <w:t>无线网络设备</w:t>
      </w:r>
      <w:r>
        <w:rPr>
          <w:rFonts w:hint="eastAsia" w:ascii="宋体" w:hAnsi="宋体" w:eastAsia="宋体" w:cs="宋体"/>
          <w:snapToGrid w:val="0"/>
          <w:sz w:val="24"/>
          <w:szCs w:val="24"/>
          <w:highlight w:val="none"/>
          <w:lang w:eastAsia="zh-CN"/>
        </w:rPr>
        <w:t>，</w:t>
      </w:r>
      <w:r>
        <w:rPr>
          <w:rFonts w:hint="eastAsia" w:ascii="宋体" w:hAnsi="宋体" w:eastAsia="宋体" w:cs="宋体"/>
          <w:snapToGrid w:val="0"/>
          <w:sz w:val="24"/>
          <w:szCs w:val="24"/>
          <w:highlight w:val="none"/>
          <w:lang w:val="en-US" w:eastAsia="zh-CN"/>
        </w:rPr>
        <w:t>内容包括：</w:t>
      </w:r>
    </w:p>
    <w:p>
      <w:pPr>
        <w:numPr>
          <w:ilvl w:val="0"/>
          <w:numId w:val="8"/>
        </w:numPr>
        <w:adjustRightInd w:val="0"/>
        <w:snapToGrid w:val="0"/>
        <w:spacing w:line="360" w:lineRule="auto"/>
        <w:ind w:left="84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现场故障处理。当网络系统发生故障时，进行现场故障诊断，确定故障原因，并对故障部件进行维修或更换，使网络复通；</w:t>
      </w:r>
    </w:p>
    <w:p>
      <w:pPr>
        <w:numPr>
          <w:ilvl w:val="0"/>
          <w:numId w:val="8"/>
        </w:numPr>
        <w:adjustRightInd w:val="0"/>
        <w:snapToGrid w:val="0"/>
        <w:spacing w:line="360" w:lineRule="auto"/>
        <w:ind w:left="84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业务适应性配置调整。当业务需求发生变化时，修改网络配置以适应新的需求，包括网络架构、VLAN、IP地址、路由、地址转换、安全控制策略等配置的调整。当采购人有新设备要接入网络时，修改网络配置以配合新设备运作；</w:t>
      </w:r>
    </w:p>
    <w:p>
      <w:pPr>
        <w:numPr>
          <w:ilvl w:val="0"/>
          <w:numId w:val="8"/>
        </w:numPr>
        <w:adjustRightInd w:val="0"/>
        <w:snapToGrid w:val="0"/>
        <w:spacing w:line="360" w:lineRule="auto"/>
        <w:ind w:left="84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每个有维护人员驻守的时间单元进行一次外观检查，于下班前通过短信或微信向采购人主管人员报告检查结果；</w:t>
      </w:r>
    </w:p>
    <w:p>
      <w:pPr>
        <w:numPr>
          <w:ilvl w:val="0"/>
          <w:numId w:val="8"/>
        </w:numPr>
        <w:adjustRightInd w:val="0"/>
        <w:snapToGrid w:val="0"/>
        <w:spacing w:line="360" w:lineRule="auto"/>
        <w:ind w:left="84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每个月进行一次例行的深度健康检查（巡检），并提交巡检报告；</w:t>
      </w:r>
    </w:p>
    <w:p>
      <w:pPr>
        <w:numPr>
          <w:ilvl w:val="0"/>
          <w:numId w:val="8"/>
        </w:numPr>
        <w:adjustRightInd w:val="0"/>
        <w:snapToGrid w:val="0"/>
        <w:spacing w:line="360" w:lineRule="auto"/>
        <w:ind w:left="84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网络性能优化。当网络系统性能不满足采购人对业务系统响应速度的要求时，设法优化网络系统架构和配置，最大限度地满足业务系统的性能要求；</w:t>
      </w:r>
    </w:p>
    <w:p>
      <w:pPr>
        <w:numPr>
          <w:ilvl w:val="0"/>
          <w:numId w:val="8"/>
        </w:numPr>
        <w:adjustRightInd w:val="0"/>
        <w:snapToGrid w:val="0"/>
        <w:spacing w:line="360" w:lineRule="auto"/>
        <w:ind w:left="845" w:leftChars="0" w:hanging="425" w:firstLineChars="0"/>
        <w:jc w:val="left"/>
        <w:rPr>
          <w:rFonts w:hint="eastAsia" w:ascii="楷体" w:hAnsi="楷体" w:eastAsia="楷体" w:cs="楷体"/>
          <w:sz w:val="32"/>
          <w:szCs w:val="32"/>
          <w:highlight w:val="none"/>
        </w:rPr>
      </w:pPr>
      <w:r>
        <w:rPr>
          <w:rFonts w:hint="eastAsia" w:ascii="宋体" w:hAnsi="宋体" w:eastAsia="宋体" w:cs="宋体"/>
          <w:sz w:val="24"/>
          <w:szCs w:val="24"/>
          <w:highlight w:val="none"/>
        </w:rPr>
        <w:t>预防性维护。如在巡检或在其它维护活动中发现可能引起系统故障的隐患，应提出应对方案，并在采购人有要求时，按应对方案执行对系统的修补、加强等预防性措施；</w:t>
      </w:r>
    </w:p>
    <w:p>
      <w:pPr>
        <w:pStyle w:val="24"/>
        <w:numPr>
          <w:ilvl w:val="0"/>
          <w:numId w:val="0"/>
        </w:numPr>
        <w:adjustRightInd w:val="0"/>
        <w:snapToGrid w:val="0"/>
        <w:spacing w:line="360" w:lineRule="auto"/>
        <w:ind w:left="420" w:leftChars="0"/>
        <w:rPr>
          <w:rFonts w:hint="eastAsia" w:ascii="宋体" w:hAnsi="宋体" w:eastAsia="宋体" w:cs="宋体"/>
          <w:bCs/>
          <w:snapToGrid w:val="0"/>
          <w:sz w:val="24"/>
          <w:szCs w:val="24"/>
          <w:highlight w:val="none"/>
          <w:lang w:eastAsia="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w:t>
      </w:r>
      <w:r>
        <w:rPr>
          <w:rFonts w:hint="eastAsia" w:ascii="宋体" w:hAnsi="宋体" w:eastAsia="宋体" w:cs="宋体"/>
          <w:bCs/>
          <w:snapToGrid w:val="0"/>
          <w:sz w:val="24"/>
          <w:szCs w:val="24"/>
          <w:highlight w:val="none"/>
        </w:rPr>
        <w:t>弱电线路修缮、清洁、理线和标识服务</w:t>
      </w:r>
      <w:r>
        <w:rPr>
          <w:rFonts w:hint="eastAsia" w:ascii="宋体" w:hAnsi="宋体" w:eastAsia="宋体" w:cs="宋体"/>
          <w:bCs/>
          <w:snapToGrid w:val="0"/>
          <w:sz w:val="24"/>
          <w:szCs w:val="24"/>
          <w:highlight w:val="none"/>
          <w:lang w:eastAsia="zh-CN"/>
        </w:rPr>
        <w:t>：</w:t>
      </w:r>
    </w:p>
    <w:p>
      <w:pPr>
        <w:numPr>
          <w:ilvl w:val="0"/>
          <w:numId w:val="9"/>
        </w:numPr>
        <w:adjustRightInd w:val="0"/>
        <w:snapToGrid w:val="0"/>
        <w:spacing w:line="360" w:lineRule="auto"/>
        <w:ind w:left="84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在采购人方便停机时，中标人不定期进行网络设备外壳的清洁除尘；</w:t>
      </w:r>
    </w:p>
    <w:p>
      <w:pPr>
        <w:numPr>
          <w:ilvl w:val="0"/>
          <w:numId w:val="9"/>
        </w:numPr>
        <w:adjustRightInd w:val="0"/>
        <w:snapToGrid w:val="0"/>
        <w:spacing w:line="360" w:lineRule="auto"/>
        <w:ind w:left="845" w:leftChars="0" w:hanging="425" w:firstLineChars="0"/>
        <w:rPr>
          <w:rFonts w:hint="eastAsia" w:ascii="宋体" w:hAnsi="宋体" w:eastAsia="宋体" w:cs="宋体"/>
          <w:bCs/>
          <w:snapToGrid w:val="0"/>
          <w:sz w:val="24"/>
          <w:szCs w:val="24"/>
          <w:highlight w:val="none"/>
          <w:lang w:val="zh-CN" w:eastAsia="zh-CN"/>
        </w:rPr>
      </w:pPr>
      <w:r>
        <w:rPr>
          <w:rFonts w:hint="eastAsia" w:ascii="宋体" w:hAnsi="宋体" w:eastAsia="宋体" w:cs="宋体"/>
          <w:sz w:val="24"/>
          <w:szCs w:val="24"/>
          <w:highlight w:val="none"/>
        </w:rPr>
        <w:t>服务期开始时，对主机房内的机柜（包括但并不限于弱电线路）全面进行一次性线缆整理、标识。今后如果有设备增减、移位或连接线缆变动，中标人应负责局部性的线缆整理，及线缆、设备的标识工作，应使机柜始终保持线缆整齐、美观，标签明晰、准确、牢固。</w:t>
      </w:r>
    </w:p>
    <w:p>
      <w:pPr>
        <w:pStyle w:val="24"/>
        <w:numPr>
          <w:ilvl w:val="0"/>
          <w:numId w:val="0"/>
        </w:numPr>
        <w:adjustRightInd w:val="0"/>
        <w:snapToGrid w:val="0"/>
        <w:spacing w:line="360" w:lineRule="auto"/>
        <w:ind w:left="420" w:leftChars="0"/>
        <w:jc w:val="left"/>
        <w:rPr>
          <w:rFonts w:hint="eastAsia" w:ascii="宋体" w:hAnsi="宋体" w:eastAsia="宋体" w:cs="宋体"/>
          <w:bCs/>
          <w:snapToGrid w:val="0"/>
          <w:sz w:val="24"/>
          <w:szCs w:val="24"/>
          <w:highlight w:val="none"/>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w:t>
      </w:r>
      <w:r>
        <w:rPr>
          <w:rFonts w:hint="eastAsia" w:ascii="宋体" w:hAnsi="宋体" w:eastAsia="宋体" w:cs="宋体"/>
          <w:bCs/>
          <w:snapToGrid w:val="0"/>
          <w:sz w:val="24"/>
          <w:szCs w:val="24"/>
          <w:highlight w:val="none"/>
        </w:rPr>
        <w:t>文档编辑与更新</w:t>
      </w:r>
      <w:r>
        <w:rPr>
          <w:rFonts w:hint="eastAsia" w:ascii="宋体" w:hAnsi="宋体" w:eastAsia="宋体" w:cs="宋体"/>
          <w:bCs/>
          <w:snapToGrid w:val="0"/>
          <w:sz w:val="24"/>
          <w:szCs w:val="24"/>
          <w:highlight w:val="none"/>
          <w:lang w:eastAsia="zh-CN"/>
        </w:rPr>
        <w:t>：</w:t>
      </w:r>
    </w:p>
    <w:p>
      <w:pPr>
        <w:numPr>
          <w:ilvl w:val="0"/>
          <w:numId w:val="10"/>
        </w:numPr>
        <w:adjustRightInd w:val="0"/>
        <w:snapToGrid w:val="0"/>
        <w:spacing w:line="360" w:lineRule="auto"/>
        <w:ind w:left="84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对维护范围内的设备建立完整的档案。以设备在机柜上的位置为序，记录每台设备的编号、名称、品牌/型号、序列号、IP地址、维修电话等信息，这些信息保持与设备标签一致；</w:t>
      </w:r>
    </w:p>
    <w:p>
      <w:pPr>
        <w:numPr>
          <w:ilvl w:val="0"/>
          <w:numId w:val="10"/>
        </w:numPr>
        <w:adjustRightInd w:val="0"/>
        <w:snapToGrid w:val="0"/>
        <w:spacing w:line="360" w:lineRule="auto"/>
        <w:ind w:left="84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对维护范围内的每台交换机记录每个端口所连接的设备，所记录的信息保持与线缆标签一致；</w:t>
      </w:r>
    </w:p>
    <w:p>
      <w:pPr>
        <w:numPr>
          <w:ilvl w:val="0"/>
          <w:numId w:val="10"/>
        </w:numPr>
        <w:adjustRightInd w:val="0"/>
        <w:snapToGrid w:val="0"/>
        <w:spacing w:line="360" w:lineRule="auto"/>
        <w:ind w:left="84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院区</w:t>
      </w:r>
      <w:r>
        <w:rPr>
          <w:rFonts w:hint="eastAsia" w:ascii="宋体" w:hAnsi="宋体" w:eastAsia="宋体" w:cs="宋体"/>
          <w:sz w:val="24"/>
          <w:szCs w:val="24"/>
          <w:highlight w:val="none"/>
        </w:rPr>
        <w:t>主机房内的核心交换机</w:t>
      </w:r>
      <w:r>
        <w:rPr>
          <w:rFonts w:hint="eastAsia" w:ascii="宋体" w:hAnsi="宋体" w:cs="宋体"/>
          <w:sz w:val="24"/>
          <w:szCs w:val="24"/>
          <w:highlight w:val="none"/>
          <w:lang w:val="en-US" w:eastAsia="zh-CN"/>
        </w:rPr>
        <w:t>S7706</w:t>
      </w:r>
      <w:r>
        <w:rPr>
          <w:rFonts w:hint="eastAsia" w:ascii="宋体" w:hAnsi="宋体" w:eastAsia="宋体" w:cs="宋体"/>
          <w:sz w:val="24"/>
          <w:szCs w:val="24"/>
          <w:highlight w:val="none"/>
        </w:rPr>
        <w:t>和内网服务器区域的汇聚交换机，记录每个端口所连接的设备，所记录的信息保持与线缆标签一致；</w:t>
      </w:r>
    </w:p>
    <w:p>
      <w:pPr>
        <w:numPr>
          <w:ilvl w:val="0"/>
          <w:numId w:val="10"/>
        </w:numPr>
        <w:adjustRightInd w:val="0"/>
        <w:snapToGrid w:val="0"/>
        <w:spacing w:line="360" w:lineRule="auto"/>
        <w:ind w:left="84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完整记录存储系统的配置。</w:t>
      </w:r>
    </w:p>
    <w:p>
      <w:pPr>
        <w:pStyle w:val="24"/>
        <w:numPr>
          <w:ilvl w:val="0"/>
          <w:numId w:val="0"/>
        </w:numPr>
        <w:adjustRightInd w:val="0"/>
        <w:snapToGrid w:val="0"/>
        <w:spacing w:line="360" w:lineRule="auto"/>
        <w:ind w:firstLine="420" w:firstLineChars="0"/>
        <w:jc w:val="left"/>
        <w:rPr>
          <w:rFonts w:hint="eastAsia" w:ascii="宋体" w:hAnsi="宋体" w:eastAsia="宋体" w:cs="宋体"/>
          <w:bCs/>
          <w:snapToGrid w:val="0"/>
          <w:sz w:val="24"/>
          <w:szCs w:val="24"/>
          <w:highlight w:val="none"/>
        </w:rPr>
      </w:pPr>
      <w:r>
        <w:rPr>
          <w:rFonts w:hint="eastAsia" w:ascii="宋体" w:hAnsi="宋体" w:eastAsia="宋体" w:cs="宋体"/>
          <w:b w:val="0"/>
          <w:bCs/>
          <w:snapToGrid w:val="0"/>
          <w:sz w:val="24"/>
          <w:szCs w:val="24"/>
          <w:highlight w:val="none"/>
          <w:lang w:eastAsia="zh-CN"/>
        </w:rPr>
        <w:t>（</w:t>
      </w:r>
      <w:r>
        <w:rPr>
          <w:rFonts w:hint="eastAsia" w:ascii="宋体" w:hAnsi="宋体" w:cs="宋体"/>
          <w:b w:val="0"/>
          <w:bCs/>
          <w:snapToGrid w:val="0"/>
          <w:sz w:val="24"/>
          <w:szCs w:val="24"/>
          <w:highlight w:val="none"/>
          <w:lang w:val="en-US" w:eastAsia="zh-CN"/>
        </w:rPr>
        <w:t>6</w:t>
      </w:r>
      <w:r>
        <w:rPr>
          <w:rFonts w:hint="eastAsia" w:ascii="宋体" w:hAnsi="宋体" w:eastAsia="宋体" w:cs="宋体"/>
          <w:b w:val="0"/>
          <w:bCs/>
          <w:snapToGrid w:val="0"/>
          <w:sz w:val="24"/>
          <w:szCs w:val="24"/>
          <w:highlight w:val="none"/>
          <w:lang w:eastAsia="zh-CN"/>
        </w:rPr>
        <w:t>）</w:t>
      </w:r>
      <w:r>
        <w:rPr>
          <w:rFonts w:hint="eastAsia" w:ascii="宋体" w:hAnsi="宋体" w:eastAsia="宋体" w:cs="宋体"/>
          <w:bCs/>
          <w:snapToGrid w:val="0"/>
          <w:sz w:val="24"/>
          <w:szCs w:val="24"/>
          <w:highlight w:val="none"/>
        </w:rPr>
        <w:t>以上记录信息汇编成整套文档。每六个月更新一次文档，有重大配置改变时也更新文档和提供咨询与建议：</w:t>
      </w:r>
    </w:p>
    <w:p>
      <w:pPr>
        <w:numPr>
          <w:ilvl w:val="0"/>
          <w:numId w:val="11"/>
        </w:numPr>
        <w:tabs>
          <w:tab w:val="left" w:pos="420"/>
        </w:tabs>
        <w:adjustRightInd w:val="0"/>
        <w:snapToGrid w:val="0"/>
        <w:spacing w:line="360" w:lineRule="auto"/>
        <w:ind w:left="84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维保期内，采购人遇到信息系统平台的任何问题，中标人可提供技术咨询服务。</w:t>
      </w:r>
    </w:p>
    <w:p>
      <w:pPr>
        <w:numPr>
          <w:ilvl w:val="0"/>
          <w:numId w:val="11"/>
        </w:numPr>
        <w:tabs>
          <w:tab w:val="left" w:pos="420"/>
        </w:tabs>
        <w:adjustRightInd w:val="0"/>
        <w:snapToGrid w:val="0"/>
        <w:spacing w:line="360" w:lineRule="auto"/>
        <w:ind w:left="845" w:leftChars="0" w:hanging="425" w:firstLineChars="0"/>
        <w:rPr>
          <w:rFonts w:hint="eastAsia" w:ascii="宋体" w:hAnsi="宋体" w:eastAsia="宋体" w:cs="宋体"/>
          <w:bCs/>
          <w:snapToGrid w:val="0"/>
          <w:sz w:val="24"/>
          <w:szCs w:val="24"/>
          <w:highlight w:val="none"/>
          <w:lang w:eastAsia="zh-CN"/>
        </w:rPr>
      </w:pPr>
      <w:r>
        <w:rPr>
          <w:rFonts w:hint="eastAsia" w:ascii="宋体" w:hAnsi="宋体" w:eastAsia="宋体" w:cs="宋体"/>
          <w:sz w:val="24"/>
          <w:szCs w:val="24"/>
          <w:highlight w:val="none"/>
        </w:rPr>
        <w:t>由于采购人业务的不断发展，若采购人要求对现有的系统进行扩充，中标人应根据系统的实际情况，提供合理建议，并提供充分的技术合作。</w:t>
      </w:r>
    </w:p>
    <w:p>
      <w:pPr>
        <w:spacing w:line="360" w:lineRule="auto"/>
        <w:ind w:hanging="10"/>
        <w:rPr>
          <w:rFonts w:hint="eastAsia" w:ascii="楷体" w:hAnsi="楷体" w:eastAsia="楷体" w:cs="楷体"/>
          <w:color w:val="000000"/>
          <w:sz w:val="32"/>
          <w:szCs w:val="32"/>
          <w:highlight w:val="none"/>
        </w:rPr>
      </w:pPr>
      <w:r>
        <w:rPr>
          <w:rFonts w:hint="eastAsia" w:ascii="楷体" w:hAnsi="楷体" w:eastAsia="楷体" w:cs="楷体"/>
          <w:sz w:val="32"/>
          <w:szCs w:val="32"/>
          <w:highlight w:val="none"/>
          <w:lang w:val="en-US" w:eastAsia="zh-CN"/>
        </w:rPr>
        <w:t xml:space="preserve"> </w:t>
      </w:r>
      <w:r>
        <w:rPr>
          <w:rFonts w:hint="eastAsia" w:ascii="楷体" w:hAnsi="楷体" w:eastAsia="楷体" w:cs="楷体"/>
          <w:bCs/>
          <w:sz w:val="32"/>
          <w:szCs w:val="32"/>
          <w:highlight w:val="none"/>
        </w:rPr>
        <w:t>★</w:t>
      </w:r>
      <w:r>
        <w:rPr>
          <w:rFonts w:hint="eastAsia" w:ascii="宋体" w:hAnsi="宋体" w:eastAsia="宋体" w:cs="宋体"/>
          <w:b w:val="0"/>
          <w:bCs/>
          <w:snapToGrid w:val="0"/>
          <w:sz w:val="24"/>
          <w:szCs w:val="24"/>
          <w:highlight w:val="none"/>
          <w:lang w:eastAsia="zh-CN"/>
        </w:rPr>
        <w:t>（</w:t>
      </w:r>
      <w:r>
        <w:rPr>
          <w:rFonts w:hint="eastAsia" w:ascii="宋体" w:hAnsi="宋体" w:cs="宋体"/>
          <w:b w:val="0"/>
          <w:bCs/>
          <w:snapToGrid w:val="0"/>
          <w:sz w:val="24"/>
          <w:szCs w:val="24"/>
          <w:highlight w:val="none"/>
          <w:lang w:val="en-US" w:eastAsia="zh-CN"/>
        </w:rPr>
        <w:t>7</w:t>
      </w:r>
      <w:r>
        <w:rPr>
          <w:rFonts w:hint="eastAsia" w:ascii="宋体" w:hAnsi="宋体" w:eastAsia="宋体" w:cs="宋体"/>
          <w:b w:val="0"/>
          <w:bCs/>
          <w:snapToGrid w:val="0"/>
          <w:sz w:val="24"/>
          <w:szCs w:val="24"/>
          <w:highlight w:val="none"/>
          <w:lang w:eastAsia="zh-CN"/>
        </w:rPr>
        <w:t>）</w:t>
      </w:r>
      <w:r>
        <w:rPr>
          <w:rFonts w:hint="eastAsia" w:ascii="宋体" w:hAnsi="宋体" w:eastAsia="宋体" w:cs="宋体"/>
          <w:bCs/>
          <w:sz w:val="24"/>
          <w:szCs w:val="24"/>
          <w:highlight w:val="none"/>
        </w:rPr>
        <w:t>设备发生故障时投标人</w:t>
      </w:r>
      <w:r>
        <w:rPr>
          <w:rFonts w:hint="eastAsia" w:ascii="宋体" w:hAnsi="宋体" w:eastAsia="宋体" w:cs="宋体"/>
          <w:bCs/>
          <w:sz w:val="24"/>
          <w:szCs w:val="24"/>
          <w:highlight w:val="none"/>
          <w:lang w:val="en-US" w:eastAsia="zh-CN"/>
        </w:rPr>
        <w:t>须</w:t>
      </w:r>
      <w:r>
        <w:rPr>
          <w:rFonts w:hint="eastAsia" w:ascii="宋体" w:hAnsi="宋体" w:eastAsia="宋体" w:cs="宋体"/>
          <w:bCs/>
          <w:sz w:val="24"/>
          <w:szCs w:val="24"/>
          <w:highlight w:val="none"/>
        </w:rPr>
        <w:t>在8小时内提供同等档次的备用设备，直到原设备修复完成。</w:t>
      </w:r>
    </w:p>
    <w:p>
      <w:pPr>
        <w:pStyle w:val="24"/>
        <w:numPr>
          <w:ilvl w:val="0"/>
          <w:numId w:val="0"/>
        </w:numPr>
        <w:adjustRightInd w:val="0"/>
        <w:snapToGrid w:val="0"/>
        <w:spacing w:line="360" w:lineRule="auto"/>
        <w:ind w:firstLine="420" w:firstLineChars="0"/>
        <w:jc w:val="left"/>
        <w:rPr>
          <w:rFonts w:hint="eastAsia" w:ascii="楷体" w:hAnsi="楷体" w:eastAsia="楷体" w:cs="楷体"/>
          <w:snapToGrid w:val="0"/>
          <w:sz w:val="32"/>
          <w:szCs w:val="32"/>
          <w:highlight w:val="none"/>
        </w:rPr>
      </w:pPr>
      <w:r>
        <w:rPr>
          <w:rFonts w:hint="eastAsia" w:ascii="宋体" w:hAnsi="宋体" w:eastAsia="宋体" w:cs="宋体"/>
          <w:b w:val="0"/>
          <w:bCs/>
          <w:snapToGrid w:val="0"/>
          <w:sz w:val="24"/>
          <w:szCs w:val="24"/>
          <w:highlight w:val="none"/>
          <w:lang w:eastAsia="zh-CN"/>
        </w:rPr>
        <w:t>（</w:t>
      </w:r>
      <w:r>
        <w:rPr>
          <w:rFonts w:hint="eastAsia" w:ascii="宋体" w:hAnsi="宋体" w:cs="宋体"/>
          <w:b w:val="0"/>
          <w:bCs/>
          <w:snapToGrid w:val="0"/>
          <w:sz w:val="24"/>
          <w:szCs w:val="24"/>
          <w:highlight w:val="none"/>
          <w:lang w:val="en-US" w:eastAsia="zh-CN"/>
        </w:rPr>
        <w:t>8</w:t>
      </w:r>
      <w:bookmarkStart w:id="14" w:name="_GoBack"/>
      <w:bookmarkEnd w:id="14"/>
      <w:r>
        <w:rPr>
          <w:rFonts w:hint="eastAsia" w:ascii="宋体" w:hAnsi="宋体" w:eastAsia="宋体" w:cs="宋体"/>
          <w:b w:val="0"/>
          <w:bCs/>
          <w:snapToGrid w:val="0"/>
          <w:sz w:val="24"/>
          <w:szCs w:val="24"/>
          <w:highlight w:val="none"/>
          <w:lang w:eastAsia="zh-CN"/>
        </w:rPr>
        <w:t>）</w:t>
      </w:r>
      <w:r>
        <w:rPr>
          <w:rFonts w:hint="eastAsia" w:ascii="宋体" w:hAnsi="宋体" w:eastAsia="宋体" w:cs="宋体"/>
          <w:b w:val="0"/>
          <w:bCs/>
          <w:snapToGrid w:val="0"/>
          <w:sz w:val="24"/>
          <w:szCs w:val="24"/>
          <w:highlight w:val="none"/>
        </w:rPr>
        <w:t>提供项目所需配套软件</w:t>
      </w:r>
      <w:r>
        <w:rPr>
          <w:rFonts w:hint="eastAsia" w:ascii="宋体" w:hAnsi="宋体" w:eastAsia="宋体" w:cs="宋体"/>
          <w:b w:val="0"/>
          <w:bCs/>
          <w:snapToGrid w:val="0"/>
          <w:sz w:val="24"/>
          <w:szCs w:val="24"/>
          <w:highlight w:val="none"/>
          <w:lang w:eastAsia="zh-CN"/>
        </w:rPr>
        <w:t>和部分设备原厂续保</w:t>
      </w:r>
      <w:r>
        <w:rPr>
          <w:rFonts w:hint="eastAsia" w:ascii="宋体" w:hAnsi="宋体" w:eastAsia="宋体" w:cs="宋体"/>
          <w:b w:val="0"/>
          <w:bCs/>
          <w:snapToGrid w:val="0"/>
          <w:sz w:val="24"/>
          <w:szCs w:val="24"/>
          <w:highlight w:val="none"/>
        </w:rPr>
        <w:t>服务</w:t>
      </w:r>
    </w:p>
    <w:p>
      <w:pPr>
        <w:pStyle w:val="16"/>
        <w:ind w:left="0" w:leftChars="0" w:firstLine="420" w:firstLineChars="0"/>
        <w:rPr>
          <w:rFonts w:hint="eastAsia" w:ascii="宋体" w:hAnsi="宋体" w:eastAsia="宋体" w:cs="宋体"/>
          <w:snapToGrid w:val="0"/>
          <w:sz w:val="24"/>
          <w:szCs w:val="24"/>
          <w:highlight w:val="none"/>
          <w:lang w:val="en-US" w:eastAsia="zh-CN"/>
        </w:rPr>
      </w:pPr>
    </w:p>
    <w:p>
      <w:pPr>
        <w:keepNext/>
        <w:keepLines/>
        <w:pageBreakBefore w:val="0"/>
        <w:kinsoku/>
        <w:wordWrap/>
        <w:overflowPunct/>
        <w:topLinePunct w:val="0"/>
        <w:autoSpaceDE/>
        <w:autoSpaceDN/>
        <w:bidi w:val="0"/>
        <w:spacing w:line="360" w:lineRule="auto"/>
        <w:textAlignment w:val="auto"/>
        <w:outlineLvl w:val="3"/>
        <w:rPr>
          <w:rFonts w:hint="eastAsia" w:ascii="宋体" w:hAnsi="宋体" w:eastAsia="宋体" w:cs="宋体"/>
          <w:b/>
          <w:bCs/>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b/>
          <w:bCs/>
          <w:sz w:val="24"/>
          <w:szCs w:val="24"/>
          <w:highlight w:val="none"/>
          <w:lang w:val="zh-CN"/>
        </w:rPr>
        <w:t>4.6.2服务指标及要求（需提供承诺函并加盖响应人公章，格式自拟）</w:t>
      </w:r>
    </w:p>
    <w:p>
      <w:pPr>
        <w:pageBreakBefore w:val="0"/>
        <w:widowControl/>
        <w:numPr>
          <w:ilvl w:val="0"/>
          <w:numId w:val="12"/>
        </w:numPr>
        <w:kinsoku/>
        <w:wordWrap/>
        <w:overflowPunct/>
        <w:topLinePunct w:val="0"/>
        <w:autoSpaceDE/>
        <w:autoSpaceDN/>
        <w:bidi w:val="0"/>
        <w:spacing w:line="360" w:lineRule="auto"/>
        <w:ind w:left="0" w:firstLine="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故障响应时间在30分钟内（临床及一线科室平均响应时间为15分钟内、行政后勤等办公响应时间为30分钟内），平均解决问题时间要求在3小时内，故障解决率99%以上，服务满意度要达到85%以上；</w:t>
      </w:r>
    </w:p>
    <w:p>
      <w:pPr>
        <w:numPr>
          <w:ilvl w:val="0"/>
          <w:numId w:val="0"/>
        </w:numPr>
        <w:adjustRightInd w:val="0"/>
        <w:snapToGrid w:val="0"/>
        <w:spacing w:line="360" w:lineRule="auto"/>
        <w:jc w:val="left"/>
        <w:outlineLvl w:val="3"/>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2、核心设备维护标准响应时间</w:t>
      </w:r>
    </w:p>
    <w:p>
      <w:pPr>
        <w:numPr>
          <w:ilvl w:val="0"/>
          <w:numId w:val="0"/>
        </w:numPr>
        <w:adjustRightInd w:val="0"/>
        <w:snapToGrid w:val="0"/>
        <w:spacing w:line="360" w:lineRule="auto"/>
        <w:ind w:left="420" w:leftChars="0"/>
        <w:jc w:val="left"/>
        <w:outlineLvl w:val="3"/>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（1）</w:t>
      </w:r>
      <w:r>
        <w:rPr>
          <w:rFonts w:hint="eastAsia" w:ascii="宋体" w:hAnsi="宋体" w:eastAsia="宋体" w:cs="宋体"/>
          <w:b/>
          <w:bCs w:val="0"/>
          <w:snapToGrid w:val="0"/>
          <w:sz w:val="24"/>
          <w:szCs w:val="24"/>
          <w:highlight w:val="none"/>
        </w:rPr>
        <w:t>响应时间为：有人驻守时段15分钟或以内到达故障现场；无人驻守时段2小时内到达故障现场；</w:t>
      </w:r>
    </w:p>
    <w:p>
      <w:pPr>
        <w:numPr>
          <w:ilvl w:val="0"/>
          <w:numId w:val="0"/>
        </w:numPr>
        <w:adjustRightInd w:val="0"/>
        <w:snapToGrid w:val="0"/>
        <w:spacing w:line="360" w:lineRule="auto"/>
        <w:ind w:left="420" w:leftChars="0"/>
        <w:jc w:val="left"/>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（2）</w:t>
      </w:r>
      <w:r>
        <w:rPr>
          <w:rFonts w:hint="eastAsia" w:ascii="宋体" w:hAnsi="宋体" w:eastAsia="宋体" w:cs="宋体"/>
          <w:b/>
          <w:bCs w:val="0"/>
          <w:snapToGrid w:val="0"/>
          <w:sz w:val="24"/>
          <w:szCs w:val="24"/>
          <w:highlight w:val="none"/>
        </w:rPr>
        <w:t>通过使用备机、切换到灾备系统等方式，保证关键业务在1.5小时内恢复运行，次关键业务在2小时内恢复运行，非关键业务在8小时内恢复运行；</w:t>
      </w:r>
    </w:p>
    <w:p>
      <w:pPr>
        <w:numPr>
          <w:ilvl w:val="0"/>
          <w:numId w:val="0"/>
        </w:numPr>
        <w:adjustRightInd w:val="0"/>
        <w:snapToGrid w:val="0"/>
        <w:spacing w:line="360" w:lineRule="auto"/>
        <w:ind w:left="420" w:leftChars="0"/>
        <w:jc w:val="left"/>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（3）</w:t>
      </w:r>
      <w:r>
        <w:rPr>
          <w:rFonts w:hint="eastAsia" w:ascii="宋体" w:hAnsi="宋体" w:eastAsia="宋体" w:cs="宋体"/>
          <w:b/>
          <w:bCs w:val="0"/>
          <w:snapToGrid w:val="0"/>
          <w:sz w:val="24"/>
          <w:szCs w:val="24"/>
          <w:highlight w:val="none"/>
        </w:rPr>
        <w:t>不需送外维修的硬件部件，在24小时或之内维修好；</w:t>
      </w:r>
    </w:p>
    <w:p>
      <w:pPr>
        <w:pStyle w:val="16"/>
        <w:spacing w:line="360" w:lineRule="auto"/>
        <w:ind w:left="0" w:leftChars="0" w:firstLine="420" w:firstLineChars="0"/>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w:t>
      </w:r>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lang w:val="zh-CN"/>
        </w:rPr>
        <w:t>）</w:t>
      </w:r>
      <w:r>
        <w:rPr>
          <w:rFonts w:hint="eastAsia" w:ascii="宋体" w:hAnsi="宋体" w:eastAsia="宋体" w:cs="宋体"/>
          <w:b/>
          <w:bCs w:val="0"/>
          <w:snapToGrid w:val="0"/>
          <w:sz w:val="24"/>
          <w:szCs w:val="24"/>
          <w:highlight w:val="none"/>
        </w:rPr>
        <w:t>需要送外维修的硬件部件，48小时或之内维修好。</w:t>
      </w:r>
    </w:p>
    <w:p>
      <w:pPr>
        <w:pStyle w:val="16"/>
        <w:spacing w:line="360" w:lineRule="auto"/>
        <w:ind w:left="0" w:leftChars="0" w:firstLine="0" w:firstLineChars="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3</w:t>
      </w:r>
      <w:r>
        <w:rPr>
          <w:rFonts w:hint="eastAsia" w:ascii="宋体" w:hAnsi="宋体" w:eastAsia="宋体" w:cs="宋体"/>
          <w:b/>
          <w:bCs w:val="0"/>
          <w:sz w:val="24"/>
          <w:szCs w:val="24"/>
          <w:highlight w:val="none"/>
        </w:rPr>
        <w:t>、非核心网络设备（指中心机房以外的交换机、无线 AP）维护的标准响应时间</w:t>
      </w:r>
    </w:p>
    <w:p>
      <w:pPr>
        <w:numPr>
          <w:ilvl w:val="0"/>
          <w:numId w:val="0"/>
        </w:numPr>
        <w:adjustRightInd w:val="0"/>
        <w:snapToGrid w:val="0"/>
        <w:spacing w:line="360" w:lineRule="auto"/>
        <w:ind w:left="420" w:leftChars="0"/>
        <w:jc w:val="left"/>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（1）</w:t>
      </w:r>
      <w:r>
        <w:rPr>
          <w:rFonts w:hint="eastAsia" w:ascii="宋体" w:hAnsi="宋体" w:eastAsia="宋体" w:cs="宋体"/>
          <w:b/>
          <w:bCs w:val="0"/>
          <w:snapToGrid w:val="0"/>
          <w:sz w:val="24"/>
          <w:szCs w:val="24"/>
          <w:highlight w:val="none"/>
        </w:rPr>
        <w:t>响应时间为：有人驻守时段15分钟或以内到达故障现场；无人驻守时段2小时内到达故障现场；</w:t>
      </w:r>
    </w:p>
    <w:p>
      <w:pPr>
        <w:numPr>
          <w:ilvl w:val="0"/>
          <w:numId w:val="0"/>
        </w:numPr>
        <w:adjustRightInd w:val="0"/>
        <w:snapToGrid w:val="0"/>
        <w:spacing w:line="360" w:lineRule="auto"/>
        <w:ind w:left="420" w:leftChars="0"/>
        <w:jc w:val="left"/>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（2）</w:t>
      </w:r>
      <w:r>
        <w:rPr>
          <w:rFonts w:hint="eastAsia" w:ascii="宋体" w:hAnsi="宋体" w:eastAsia="宋体" w:cs="宋体"/>
          <w:b/>
          <w:bCs w:val="0"/>
          <w:snapToGrid w:val="0"/>
          <w:sz w:val="24"/>
          <w:szCs w:val="24"/>
          <w:highlight w:val="none"/>
        </w:rPr>
        <w:t>通过使用备机、切换到灾备系统等方式，保证汇聚交换机在1.5小时内恢复运行，接入交换机在2小时内恢复运行，无线 AP在8小时内恢复运行；</w:t>
      </w:r>
    </w:p>
    <w:p>
      <w:pPr>
        <w:numPr>
          <w:ilvl w:val="0"/>
          <w:numId w:val="0"/>
        </w:numPr>
        <w:adjustRightInd w:val="0"/>
        <w:snapToGrid w:val="0"/>
        <w:spacing w:line="360" w:lineRule="auto"/>
        <w:ind w:left="420" w:leftChars="0"/>
        <w:jc w:val="left"/>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（3）</w:t>
      </w:r>
      <w:r>
        <w:rPr>
          <w:rFonts w:hint="eastAsia" w:ascii="宋体" w:hAnsi="宋体" w:eastAsia="宋体" w:cs="宋体"/>
          <w:b/>
          <w:bCs w:val="0"/>
          <w:snapToGrid w:val="0"/>
          <w:sz w:val="24"/>
          <w:szCs w:val="24"/>
          <w:highlight w:val="none"/>
        </w:rPr>
        <w:t>不需送外维修的硬件部件，在24小时或之内维修好；</w:t>
      </w:r>
    </w:p>
    <w:p>
      <w:pPr>
        <w:numPr>
          <w:ilvl w:val="0"/>
          <w:numId w:val="0"/>
        </w:numPr>
        <w:adjustRightInd w:val="0"/>
        <w:snapToGrid w:val="0"/>
        <w:spacing w:line="360" w:lineRule="auto"/>
        <w:ind w:left="420" w:leftChars="0"/>
        <w:jc w:val="left"/>
        <w:rPr>
          <w:rFonts w:hint="eastAsia" w:ascii="宋体" w:hAnsi="宋体" w:eastAsia="宋体" w:cs="宋体"/>
          <w:b/>
          <w:bCs w:val="0"/>
          <w:snapToGrid w:val="0"/>
          <w:sz w:val="24"/>
          <w:szCs w:val="24"/>
          <w:highlight w:val="none"/>
        </w:rPr>
      </w:pPr>
      <w:r>
        <w:rPr>
          <w:rFonts w:hint="eastAsia" w:ascii="宋体" w:hAnsi="宋体" w:eastAsia="宋体" w:cs="宋体"/>
          <w:b/>
          <w:bCs w:val="0"/>
          <w:sz w:val="24"/>
          <w:szCs w:val="24"/>
          <w:highlight w:val="none"/>
          <w:lang w:val="zh-CN"/>
        </w:rPr>
        <w:t>（</w:t>
      </w:r>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lang w:val="zh-CN"/>
        </w:rPr>
        <w:t>）</w:t>
      </w:r>
      <w:r>
        <w:rPr>
          <w:rFonts w:hint="eastAsia" w:ascii="宋体" w:hAnsi="宋体" w:eastAsia="宋体" w:cs="宋体"/>
          <w:b/>
          <w:bCs w:val="0"/>
          <w:snapToGrid w:val="0"/>
          <w:sz w:val="24"/>
          <w:szCs w:val="24"/>
          <w:highlight w:val="none"/>
        </w:rPr>
        <w:t>需要送外维修的硬件部件，48时或之内维修好。</w:t>
      </w:r>
    </w:p>
    <w:p>
      <w:pPr>
        <w:pStyle w:val="24"/>
        <w:numPr>
          <w:ilvl w:val="0"/>
          <w:numId w:val="0"/>
        </w:numPr>
        <w:adjustRightInd w:val="0"/>
        <w:snapToGrid w:val="0"/>
        <w:spacing w:line="360" w:lineRule="auto"/>
        <w:rPr>
          <w:rFonts w:hint="eastAsia" w:ascii="宋体" w:hAnsi="宋体" w:eastAsia="宋体" w:cs="宋体"/>
          <w:b/>
          <w:bCs w:val="0"/>
          <w:snapToGrid w:val="0"/>
          <w:sz w:val="24"/>
          <w:szCs w:val="24"/>
          <w:highlight w:val="none"/>
        </w:rPr>
      </w:pPr>
      <w:r>
        <w:rPr>
          <w:rFonts w:hint="eastAsia" w:ascii="宋体" w:hAnsi="宋体" w:eastAsia="宋体" w:cs="宋体"/>
          <w:b/>
          <w:bCs w:val="0"/>
          <w:snapToGrid w:val="0"/>
          <w:sz w:val="24"/>
          <w:szCs w:val="24"/>
          <w:highlight w:val="none"/>
          <w:lang w:val="en-US" w:eastAsia="zh-CN"/>
        </w:rPr>
        <w:t>4、</w:t>
      </w:r>
      <w:r>
        <w:rPr>
          <w:rFonts w:hint="eastAsia" w:ascii="宋体" w:hAnsi="宋体" w:eastAsia="宋体" w:cs="宋体"/>
          <w:b/>
          <w:bCs w:val="0"/>
          <w:snapToGrid w:val="0"/>
          <w:sz w:val="24"/>
          <w:szCs w:val="24"/>
          <w:highlight w:val="none"/>
        </w:rPr>
        <w:t>数据库维护服务</w:t>
      </w:r>
      <w:r>
        <w:rPr>
          <w:rFonts w:hint="eastAsia" w:ascii="宋体" w:hAnsi="宋体" w:eastAsia="宋体" w:cs="宋体"/>
          <w:b/>
          <w:bCs w:val="0"/>
          <w:sz w:val="24"/>
          <w:szCs w:val="24"/>
          <w:highlight w:val="none"/>
        </w:rPr>
        <w:t>的标准响应时间</w:t>
      </w:r>
    </w:p>
    <w:p>
      <w:pPr>
        <w:pStyle w:val="24"/>
        <w:numPr>
          <w:ilvl w:val="0"/>
          <w:numId w:val="0"/>
        </w:numPr>
        <w:adjustRightInd w:val="0"/>
        <w:snapToGrid w:val="0"/>
        <w:spacing w:line="360" w:lineRule="auto"/>
        <w:ind w:firstLine="482" w:firstLineChars="200"/>
        <w:jc w:val="left"/>
        <w:rPr>
          <w:rFonts w:hint="eastAsia" w:ascii="宋体" w:hAnsi="宋体" w:eastAsia="宋体" w:cs="宋体"/>
          <w:b/>
          <w:bCs w:val="0"/>
          <w:snapToGrid w:val="0"/>
          <w:sz w:val="24"/>
          <w:szCs w:val="24"/>
          <w:highlight w:val="none"/>
        </w:rPr>
      </w:pPr>
      <w:r>
        <w:rPr>
          <w:rFonts w:hint="eastAsia" w:ascii="宋体" w:hAnsi="宋体" w:eastAsia="宋体" w:cs="宋体"/>
          <w:b/>
          <w:bCs w:val="0"/>
          <w:snapToGrid w:val="0"/>
          <w:sz w:val="24"/>
          <w:szCs w:val="24"/>
          <w:highlight w:val="none"/>
          <w:lang w:val="en-US" w:eastAsia="zh-CN"/>
        </w:rPr>
        <w:t>(1)</w:t>
      </w:r>
      <w:r>
        <w:rPr>
          <w:rFonts w:hint="eastAsia" w:ascii="宋体" w:hAnsi="宋体" w:eastAsia="宋体" w:cs="宋体"/>
          <w:b/>
          <w:bCs w:val="0"/>
          <w:snapToGrid w:val="0"/>
          <w:sz w:val="24"/>
          <w:szCs w:val="24"/>
          <w:highlight w:val="none"/>
        </w:rPr>
        <w:t>7*24小时应急服务, 提供多种联系方式，响应时间不得迟于15分钟，抵达现场实际不能超过2小时；</w:t>
      </w:r>
    </w:p>
    <w:p>
      <w:pPr>
        <w:pStyle w:val="16"/>
        <w:ind w:left="0" w:leftChars="0" w:firstLine="420" w:firstLineChars="0"/>
        <w:rPr>
          <w:rFonts w:hint="eastAsia"/>
          <w:b/>
          <w:bCs w:val="0"/>
          <w:lang w:val="zh-CN"/>
        </w:rPr>
      </w:pPr>
      <w:r>
        <w:rPr>
          <w:rFonts w:hint="eastAsia" w:ascii="宋体" w:hAnsi="宋体" w:eastAsia="宋体" w:cs="宋体"/>
          <w:b/>
          <w:bCs w:val="0"/>
          <w:snapToGrid w:val="0"/>
          <w:sz w:val="24"/>
          <w:szCs w:val="24"/>
          <w:highlight w:val="none"/>
          <w:lang w:val="en-US" w:eastAsia="zh-CN"/>
        </w:rPr>
        <w:t>(2)</w:t>
      </w:r>
      <w:r>
        <w:rPr>
          <w:rFonts w:hint="eastAsia" w:ascii="宋体" w:hAnsi="宋体" w:eastAsia="宋体" w:cs="宋体"/>
          <w:b/>
          <w:bCs w:val="0"/>
          <w:snapToGrid w:val="0"/>
          <w:sz w:val="24"/>
          <w:szCs w:val="24"/>
          <w:highlight w:val="none"/>
        </w:rPr>
        <w:t>判断为因数据库内引起系统缓慢、卡顿、宕机的执行语句，给出专业优化意见，应在2小时内解决此类问题</w:t>
      </w:r>
      <w:r>
        <w:rPr>
          <w:rFonts w:hint="eastAsia" w:ascii="宋体" w:hAnsi="宋体" w:eastAsia="宋体" w:cs="宋体"/>
          <w:b/>
          <w:bCs w:val="0"/>
          <w:snapToGrid w:val="0"/>
          <w:sz w:val="24"/>
          <w:szCs w:val="24"/>
          <w:highlight w:val="none"/>
          <w:lang w:eastAsia="zh-CN"/>
        </w:rPr>
        <w:t>。</w:t>
      </w:r>
    </w:p>
    <w:p>
      <w:pPr>
        <w:pageBreakBefore w:val="0"/>
        <w:widowControl/>
        <w:numPr>
          <w:ilvl w:val="0"/>
          <w:numId w:val="0"/>
        </w:numPr>
        <w:kinsoku/>
        <w:wordWrap/>
        <w:overflowPunct/>
        <w:topLinePunct w:val="0"/>
        <w:autoSpaceDE/>
        <w:autoSpaceDN/>
        <w:bidi w:val="0"/>
        <w:spacing w:line="360" w:lineRule="auto"/>
        <w:ind w:left="0" w:firstLine="0"/>
        <w:jc w:val="left"/>
        <w:textAlignment w:val="auto"/>
        <w:rPr>
          <w:rFonts w:hint="eastAsia" w:ascii="宋体" w:hAnsi="宋体" w:eastAsia="宋体" w:cs="宋体"/>
          <w:b/>
          <w:bCs/>
          <w:sz w:val="24"/>
          <w:szCs w:val="24"/>
          <w:highlight w:val="none"/>
          <w:lang w:val="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zh-CN"/>
        </w:rPr>
        <w:t>现场服务要求统一的工作服饰，态度要友好、耐心，沟通良好；</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4.7 主动预防性巡检服务</w:t>
      </w:r>
    </w:p>
    <w:p>
      <w:pPr>
        <w:pageBreakBefore w:val="0"/>
        <w:kinsoku/>
        <w:wordWrap/>
        <w:overflowPunct/>
        <w:topLinePunct w:val="0"/>
        <w:autoSpaceDE/>
        <w:autoSpaceDN/>
        <w:bidi w:val="0"/>
        <w:spacing w:line="360" w:lineRule="auto"/>
        <w:textAlignment w:val="auto"/>
        <w:outlineLvl w:val="3"/>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4.7.1 </w:t>
      </w:r>
      <w:r>
        <w:rPr>
          <w:rFonts w:hint="eastAsia" w:ascii="宋体" w:hAnsi="宋体" w:cs="宋体"/>
          <w:sz w:val="24"/>
          <w:szCs w:val="24"/>
          <w:highlight w:val="none"/>
          <w:lang w:val="en-US" w:eastAsia="zh-CN"/>
        </w:rPr>
        <w:t>桌面</w:t>
      </w:r>
      <w:r>
        <w:rPr>
          <w:rFonts w:hint="eastAsia" w:ascii="宋体" w:hAnsi="宋体" w:eastAsia="宋体" w:cs="宋体"/>
          <w:sz w:val="24"/>
          <w:szCs w:val="24"/>
          <w:highlight w:val="none"/>
          <w:lang w:val="zh-CN"/>
        </w:rPr>
        <w:t>服务内容</w:t>
      </w:r>
    </w:p>
    <w:p>
      <w:pPr>
        <w:pageBreakBefore w:val="0"/>
        <w:kinsoku/>
        <w:wordWrap/>
        <w:overflowPunct/>
        <w:topLinePunct w:val="0"/>
        <w:autoSpaceDE/>
        <w:autoSpaceDN/>
        <w:bidi w:val="0"/>
        <w:spacing w:line="360" w:lineRule="auto"/>
        <w:ind w:left="2" w:leftChars="1"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在签订合同后，成交人需要为中山大学孙逸仙纪念医院的设备开展定期主动巡检服务，以降低设备硬件故障发生率；</w:t>
      </w:r>
    </w:p>
    <w:p>
      <w:pPr>
        <w:pageBreakBefore w:val="0"/>
        <w:widowControl/>
        <w:numPr>
          <w:ilvl w:val="0"/>
          <w:numId w:val="13"/>
        </w:numPr>
        <w:kinsoku/>
        <w:wordWrap/>
        <w:overflowPunct/>
        <w:topLinePunct w:val="0"/>
        <w:autoSpaceDE/>
        <w:autoSpaceDN/>
        <w:bidi w:val="0"/>
        <w:spacing w:line="360" w:lineRule="auto"/>
        <w:ind w:left="425"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定时巡查：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每天早上，安排固定人员对重要科室如门诊进行巡检，保证临床科室上班开机即进入正常工作状态；</w:t>
      </w:r>
    </w:p>
    <w:p>
      <w:pPr>
        <w:pageBreakBefore w:val="0"/>
        <w:widowControl/>
        <w:numPr>
          <w:ilvl w:val="0"/>
          <w:numId w:val="13"/>
        </w:numPr>
        <w:kinsoku/>
        <w:wordWrap/>
        <w:overflowPunct/>
        <w:topLinePunct w:val="0"/>
        <w:autoSpaceDE/>
        <w:autoSpaceDN/>
        <w:bidi w:val="0"/>
        <w:spacing w:line="360" w:lineRule="auto"/>
        <w:ind w:left="425"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巡查对象：</w:t>
      </w:r>
    </w:p>
    <w:p>
      <w:pPr>
        <w:keepNext/>
        <w:keepLines/>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（1）对重点区域设备巡查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安排至少1名驻场技术员主动到门诊楼等重要科室巡查，检查机器的运行状态并做好登记；发现问题及时处理或报修安排后面的同事跟进维护。</w:t>
      </w:r>
    </w:p>
    <w:p>
      <w:pPr>
        <w:keepNext/>
        <w:keepLines/>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（2）对重点设备巡查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针对电脑、打印机设置专人负责对重要科室巡检并记录设备工作状态，主动及时检查网络，定期优化系统，提高设备使用寿命。</w:t>
      </w:r>
    </w:p>
    <w:p>
      <w:pPr>
        <w:keepNext/>
        <w:keepLines/>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（3）对共性问题项目性预防处理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sz w:val="24"/>
          <w:szCs w:val="24"/>
          <w:highlight w:val="none"/>
          <w:lang w:val="zh-CN"/>
        </w:rPr>
      </w:pPr>
      <w:r>
        <w:rPr>
          <w:rFonts w:hint="eastAsia" w:ascii="宋体" w:hAnsi="宋体" w:eastAsia="宋体" w:cs="宋体"/>
          <w:sz w:val="24"/>
          <w:szCs w:val="24"/>
          <w:highlight w:val="none"/>
          <w:lang w:val="zh-CN"/>
        </w:rPr>
        <w:t>每周监控服务数据，每月做数据分析，发现共性问题提出项目解决方案，主动通知医院发通知整改。</w:t>
      </w:r>
    </w:p>
    <w:p>
      <w:pPr>
        <w:keepNext/>
        <w:keepLines/>
        <w:pageBreakBefore w:val="0"/>
        <w:kinsoku/>
        <w:wordWrap/>
        <w:overflowPunct/>
        <w:topLinePunct w:val="0"/>
        <w:autoSpaceDE/>
        <w:autoSpaceDN/>
        <w:bidi w:val="0"/>
        <w:spacing w:line="360" w:lineRule="auto"/>
        <w:textAlignment w:val="auto"/>
        <w:outlineLvl w:val="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4.8专项服务</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4.8.1协助采购人开展信息设备盘点服务：</w:t>
      </w:r>
    </w:p>
    <w:p>
      <w:pPr>
        <w:pageBreakBefore w:val="0"/>
        <w:kinsoku/>
        <w:wordWrap/>
        <w:overflowPunct/>
        <w:topLinePunct w:val="0"/>
        <w:autoSpaceDE/>
        <w:autoSpaceDN/>
        <w:bidi w:val="0"/>
        <w:spacing w:line="360" w:lineRule="auto"/>
        <w:ind w:left="420" w:leftChars="2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成交人需共同参与医院信息设备盘点工作。成交人每年派至少两人共同参与医院信息设备盘点工作，包括但不限于计算机、打印机等设备。</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4.8.2科室新建或搬迁设备配置服务：</w:t>
      </w:r>
    </w:p>
    <w:p>
      <w:pPr>
        <w:pageBreakBefore w:val="0"/>
        <w:kinsoku/>
        <w:wordWrap/>
        <w:overflowPunct/>
        <w:topLinePunct w:val="0"/>
        <w:autoSpaceDE/>
        <w:autoSpaceDN/>
        <w:bidi w:val="0"/>
        <w:spacing w:line="360" w:lineRule="auto"/>
        <w:ind w:left="420" w:left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人向医院提供由于科室新建或搬迁后设备配置服务。当医院有新建科室或科室因装修、科室调整的需求时，需协助科室对信息设备进行搬迁配置。包括搬迁前的信息设备拆卸，装修完成后信息点的测试，搬迁后的信息设备安装、连接、配置，线路整理等。</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4.8.3.协助处理其他计算机、打印机等桌面终端相关工作。</w:t>
      </w:r>
    </w:p>
    <w:p>
      <w:pPr>
        <w:pStyle w:val="5"/>
        <w:pageBreakBefore w:val="0"/>
        <w:tabs>
          <w:tab w:val="left" w:pos="851"/>
        </w:tabs>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五、其他服务标准及要求：</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5.1.科学管理要求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成交人须对</w:t>
      </w:r>
      <w:r>
        <w:rPr>
          <w:rFonts w:hint="eastAsia" w:ascii="宋体" w:hAnsi="宋体" w:eastAsia="宋体" w:cs="宋体"/>
          <w:sz w:val="24"/>
          <w:szCs w:val="24"/>
          <w:highlight w:val="none"/>
          <w:lang w:val="zh-CN"/>
        </w:rPr>
        <w:t>进行驻场人员进行科学化管理，用信息化手段管理日常报障及调度等工作，并能查询统计相关信息。方便采购人对成交人的日常工作进行评估。</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5.2.质量和环境保证体系要求：对计算机软硬件的运维服务具有严格的质量和环境保证体系，能对服务进行标准化、流程化操作管理。</w:t>
      </w:r>
    </w:p>
    <w:p>
      <w:pPr>
        <w:pStyle w:val="1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5.3.人员变更要求</w:t>
      </w:r>
    </w:p>
    <w:p>
      <w:pPr>
        <w:pStyle w:val="1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合同期内，如因个人原因离职或其他原因需发生人员更换，成交人需告知采购人；必须保证至少一个月的工作交接时间，确保成交人派遣的接任驻场人员完全掌握服务内容后方可更换人选，其人员资质要求与启动时一致。</w:t>
      </w:r>
    </w:p>
    <w:p>
      <w:pPr>
        <w:pStyle w:val="15"/>
        <w:numPr>
          <w:ilvl w:val="0"/>
          <w:numId w:val="0"/>
        </w:numPr>
        <w:rPr>
          <w:rFonts w:hint="eastAsia" w:ascii="仿宋" w:hAnsi="仿宋" w:eastAsia="仿宋" w:cs="仿宋"/>
          <w:b/>
          <w:bCs/>
          <w:color w:val="auto"/>
          <w:sz w:val="24"/>
          <w:szCs w:val="24"/>
          <w:lang w:val="en-US" w:eastAsia="zh-CN"/>
        </w:rPr>
      </w:pPr>
      <w:r>
        <w:rPr>
          <w:rFonts w:hint="eastAsia" w:ascii="宋体" w:hAnsi="宋体" w:eastAsia="宋体" w:cs="宋体"/>
          <w:sz w:val="24"/>
          <w:szCs w:val="24"/>
          <w:highlight w:val="none"/>
          <w:lang w:val="zh-CN"/>
        </w:rPr>
        <w:t>5.</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w:t>
      </w:r>
      <w:r>
        <w:rPr>
          <w:rFonts w:hint="eastAsia" w:ascii="宋体" w:hAnsi="宋体" w:eastAsia="宋体" w:cs="宋体"/>
          <w:b w:val="0"/>
          <w:bCs w:val="0"/>
          <w:color w:val="auto"/>
          <w:sz w:val="24"/>
          <w:szCs w:val="24"/>
          <w:lang w:val="en-US" w:eastAsia="zh-CN"/>
        </w:rPr>
        <w:t>服务及响应时间</w:t>
      </w:r>
    </w:p>
    <w:p>
      <w:pPr>
        <w:spacing w:line="360" w:lineRule="auto"/>
        <w:ind w:firstLine="480"/>
        <w:rPr>
          <w:rFonts w:hint="eastAsia" w:ascii="仿宋" w:hAnsi="仿宋" w:eastAsia="仿宋" w:cs="仿宋"/>
          <w:sz w:val="24"/>
          <w:szCs w:val="24"/>
          <w:lang w:val="zh-CN" w:eastAsia="zh-CN"/>
        </w:rPr>
      </w:pPr>
      <w:r>
        <w:rPr>
          <w:rFonts w:hint="eastAsia" w:ascii="宋体" w:hAnsi="宋体" w:eastAsia="宋体" w:cs="宋体"/>
          <w:sz w:val="24"/>
          <w:szCs w:val="24"/>
          <w:lang w:val="en-US" w:eastAsia="zh-CN"/>
        </w:rPr>
        <w:t>当发现故障发生时，根据深汕中心医院将可能出现的网络设备与非业务网络设备的故障应急响应，分为三个响应等级。当故障发生时，根据相关的网络应用系统，启动对应的响应等级应急预案。</w:t>
      </w:r>
      <w:r>
        <w:rPr>
          <w:rFonts w:hint="eastAsia" w:ascii="仿宋" w:hAnsi="仿宋" w:eastAsia="仿宋" w:cs="仿宋"/>
          <w:sz w:val="24"/>
          <w:szCs w:val="24"/>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526"/>
        <w:gridCol w:w="1060"/>
        <w:gridCol w:w="1109"/>
        <w:gridCol w:w="1481"/>
      </w:tblGrid>
      <w:tr>
        <w:trPr>
          <w:trHeight w:val="0" w:hRule="atLeast"/>
          <w:tblHeader/>
          <w:jc w:val="center"/>
        </w:trPr>
        <w:tc>
          <w:tcPr>
            <w:tcW w:w="0" w:type="auto"/>
            <w:vAlign w:val="center"/>
          </w:tcPr>
          <w:p>
            <w:pPr>
              <w:widowControl/>
              <w:ind w:left="0" w:leftChars="0" w:firstLine="0" w:firstLineChars="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响应等级</w:t>
            </w:r>
          </w:p>
        </w:tc>
        <w:tc>
          <w:tcPr>
            <w:tcW w:w="0" w:type="auto"/>
            <w:vAlign w:val="center"/>
          </w:tcPr>
          <w:p>
            <w:pPr>
              <w:widowControl/>
              <w:ind w:left="0" w:leftChars="0" w:firstLine="0" w:firstLineChars="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网络故障</w:t>
            </w:r>
          </w:p>
        </w:tc>
        <w:tc>
          <w:tcPr>
            <w:tcW w:w="0" w:type="auto"/>
            <w:vAlign w:val="center"/>
          </w:tcPr>
          <w:p>
            <w:pPr>
              <w:widowControl/>
              <w:ind w:left="0" w:leftChars="0" w:firstLine="0" w:firstLineChars="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响应时间</w:t>
            </w:r>
          </w:p>
        </w:tc>
        <w:tc>
          <w:tcPr>
            <w:tcW w:w="0" w:type="auto"/>
            <w:vAlign w:val="center"/>
          </w:tcPr>
          <w:p>
            <w:pPr>
              <w:widowControl/>
              <w:ind w:left="0" w:leftChars="0" w:firstLine="0" w:firstLineChars="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到场时间</w:t>
            </w:r>
          </w:p>
        </w:tc>
        <w:tc>
          <w:tcPr>
            <w:tcW w:w="0" w:type="auto"/>
            <w:vAlign w:val="center"/>
          </w:tcPr>
          <w:p>
            <w:pPr>
              <w:widowControl/>
              <w:ind w:left="0" w:leftChars="0" w:firstLine="0" w:firstLineChars="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解决故障时间</w:t>
            </w:r>
          </w:p>
        </w:tc>
      </w:tr>
      <w:tr>
        <w:trPr>
          <w:trHeight w:val="0" w:hRule="atLeast"/>
          <w:tblHeader/>
          <w:jc w:val="center"/>
        </w:trPr>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w:t>
            </w:r>
          </w:p>
        </w:tc>
        <w:tc>
          <w:tcPr>
            <w:tcW w:w="0" w:type="auto"/>
            <w:vAlign w:val="center"/>
          </w:tcPr>
          <w:p>
            <w:pPr>
              <w:widowControl/>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医院业务系统网络</w:t>
            </w:r>
            <w:r>
              <w:rPr>
                <w:rFonts w:hint="eastAsia" w:ascii="宋体" w:hAnsi="宋体" w:eastAsia="宋体" w:cs="宋体"/>
                <w:color w:val="000000"/>
                <w:kern w:val="0"/>
                <w:sz w:val="21"/>
                <w:szCs w:val="21"/>
                <w:lang w:val="en-US" w:eastAsia="zh-CN"/>
              </w:rPr>
              <w:t>及机房</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即时响应</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10分钟内</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30分钟内</w:t>
            </w:r>
          </w:p>
        </w:tc>
      </w:tr>
      <w:tr>
        <w:trPr>
          <w:trHeight w:val="0" w:hRule="atLeast"/>
          <w:tblHeader/>
          <w:jc w:val="center"/>
        </w:trPr>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智能化弱电系统网络</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即时响应</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10分钟内</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1小时内</w:t>
            </w:r>
          </w:p>
        </w:tc>
      </w:tr>
      <w:tr>
        <w:trPr>
          <w:trHeight w:val="0" w:hRule="atLeast"/>
          <w:tblHeader/>
          <w:jc w:val="center"/>
        </w:trPr>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宿舍及生活网络</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即时响应</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20分钟内</w:t>
            </w:r>
          </w:p>
        </w:tc>
        <w:tc>
          <w:tcPr>
            <w:tcW w:w="0" w:type="auto"/>
            <w:vAlign w:val="center"/>
          </w:tcPr>
          <w:p>
            <w:pPr>
              <w:widowControl/>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4小时内</w:t>
            </w:r>
          </w:p>
        </w:tc>
      </w:tr>
    </w:tbl>
    <w:p>
      <w:pPr>
        <w:pStyle w:val="15"/>
        <w:numPr>
          <w:ilvl w:val="0"/>
          <w:numId w:val="0"/>
        </w:num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sz w:val="24"/>
          <w:szCs w:val="24"/>
          <w:highlight w:val="none"/>
          <w:lang w:val="zh-CN"/>
        </w:rPr>
        <w:t>5.</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w:t>
      </w:r>
      <w:r>
        <w:rPr>
          <w:rFonts w:hint="eastAsia" w:ascii="宋体" w:hAnsi="宋体" w:eastAsia="宋体" w:cs="宋体"/>
          <w:b w:val="0"/>
          <w:bCs w:val="0"/>
          <w:color w:val="auto"/>
          <w:sz w:val="24"/>
          <w:szCs w:val="24"/>
          <w:lang w:val="en-US" w:eastAsia="zh-CN"/>
        </w:rPr>
        <w:t>各类报告和总结</w:t>
      </w:r>
    </w:p>
    <w:p>
      <w:pPr>
        <w:pStyle w:val="15"/>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维护项目团队定期开会，针对维护服务内容，维护设备，相关系统等的故障率、出单情况和处理过程进行讨论。维护人员整理会议纪要，并定时跟采购人提出反馈和建议。</w:t>
      </w:r>
    </w:p>
    <w:p>
      <w:pPr>
        <w:pStyle w:val="15"/>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宋体" w:hAnsi="宋体" w:eastAsia="宋体" w:cs="宋体"/>
          <w:color w:val="auto"/>
          <w:sz w:val="24"/>
          <w:szCs w:val="24"/>
          <w:lang w:val="en-US" w:eastAsia="zh-CN"/>
        </w:rPr>
        <w:t>本项目所需提交的文档包含但不限于以下文档</w:t>
      </w:r>
      <w:r>
        <w:rPr>
          <w:rFonts w:hint="eastAsia" w:ascii="仿宋" w:hAnsi="仿宋" w:eastAsia="仿宋" w:cs="仿宋"/>
          <w:color w:val="auto"/>
          <w:sz w:val="24"/>
          <w:szCs w:val="24"/>
          <w:lang w:val="en-US" w:eastAsia="zh-CN"/>
        </w:rPr>
        <w:t>：</w:t>
      </w:r>
    </w:p>
    <w:tbl>
      <w:tblPr>
        <w:tblStyle w:val="18"/>
        <w:tblpPr w:leftFromText="180" w:rightFromText="180" w:vertAnchor="text" w:horzAnchor="page" w:tblpX="1789" w:tblpY="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58"/>
        <w:gridCol w:w="1130"/>
        <w:gridCol w:w="3980"/>
      </w:tblGrid>
      <w:tr>
        <w:trPr>
          <w:trHeight w:val="0" w:hRule="atLeast"/>
          <w:tblHeader/>
          <w:jc w:val="center"/>
        </w:trPr>
        <w:tc>
          <w:tcPr>
            <w:tcW w:w="762" w:type="dxa"/>
            <w:vAlign w:val="center"/>
          </w:tcPr>
          <w:p>
            <w:pPr>
              <w:widowControl/>
              <w:adjustRightInd/>
              <w:snapToGrid/>
              <w:spacing w:after="0" w:line="240" w:lineRule="auto"/>
              <w:ind w:left="0" w:leftChars="0" w:firstLine="0" w:firstLineChars="0"/>
              <w:jc w:val="center"/>
              <w:rPr>
                <w:rFonts w:hint="eastAsia" w:ascii="宋体" w:hAnsi="宋体" w:eastAsia="宋体" w:cs="Tahoma"/>
                <w:b/>
                <w:bCs/>
                <w:color w:val="000000"/>
                <w:kern w:val="0"/>
                <w:sz w:val="21"/>
                <w:szCs w:val="21"/>
                <w:highlight w:val="none"/>
                <w:lang w:val="en-US" w:eastAsia="zh-CN"/>
              </w:rPr>
            </w:pPr>
            <w:r>
              <w:rPr>
                <w:rFonts w:hint="eastAsia" w:ascii="宋体" w:hAnsi="宋体" w:eastAsia="宋体" w:cs="Tahoma"/>
                <w:b/>
                <w:bCs/>
                <w:color w:val="000000"/>
                <w:kern w:val="0"/>
                <w:sz w:val="21"/>
                <w:szCs w:val="21"/>
                <w:highlight w:val="none"/>
                <w:lang w:val="en-US" w:eastAsia="zh-CN"/>
              </w:rPr>
              <w:t>序号</w:t>
            </w:r>
          </w:p>
        </w:tc>
        <w:tc>
          <w:tcPr>
            <w:tcW w:w="2558" w:type="dxa"/>
            <w:vAlign w:val="center"/>
          </w:tcPr>
          <w:p>
            <w:pPr>
              <w:widowControl/>
              <w:adjustRightInd/>
              <w:snapToGrid/>
              <w:spacing w:after="0" w:line="240" w:lineRule="auto"/>
              <w:ind w:left="0" w:leftChars="0" w:firstLine="0" w:firstLineChars="0"/>
              <w:jc w:val="both"/>
              <w:rPr>
                <w:rFonts w:hint="eastAsia" w:ascii="宋体" w:hAnsi="宋体" w:eastAsia="宋体" w:cs="Tahoma"/>
                <w:b/>
                <w:bCs/>
                <w:color w:val="000000"/>
                <w:kern w:val="0"/>
                <w:sz w:val="21"/>
                <w:szCs w:val="21"/>
                <w:highlight w:val="none"/>
                <w:lang w:val="en-US" w:eastAsia="zh-CN"/>
              </w:rPr>
            </w:pPr>
            <w:r>
              <w:rPr>
                <w:rFonts w:hint="eastAsia" w:ascii="宋体" w:hAnsi="宋体" w:eastAsia="宋体" w:cs="Tahoma"/>
                <w:b/>
                <w:bCs/>
                <w:color w:val="000000"/>
                <w:kern w:val="0"/>
                <w:sz w:val="21"/>
                <w:szCs w:val="21"/>
                <w:highlight w:val="none"/>
                <w:lang w:val="en-US" w:eastAsia="zh-CN"/>
              </w:rPr>
              <w:t>文档名称</w:t>
            </w:r>
          </w:p>
        </w:tc>
        <w:tc>
          <w:tcPr>
            <w:tcW w:w="1130" w:type="dxa"/>
            <w:vAlign w:val="center"/>
          </w:tcPr>
          <w:p>
            <w:pPr>
              <w:widowControl/>
              <w:adjustRightInd/>
              <w:snapToGrid/>
              <w:spacing w:after="0" w:line="240" w:lineRule="auto"/>
              <w:ind w:left="0" w:leftChars="0" w:firstLine="0" w:firstLineChars="0"/>
              <w:jc w:val="both"/>
              <w:rPr>
                <w:rFonts w:hint="eastAsia" w:ascii="宋体" w:hAnsi="宋体" w:eastAsia="宋体" w:cs="Tahoma"/>
                <w:b/>
                <w:bCs/>
                <w:color w:val="000000"/>
                <w:kern w:val="0"/>
                <w:sz w:val="21"/>
                <w:szCs w:val="21"/>
                <w:highlight w:val="none"/>
                <w:lang w:val="en-US" w:eastAsia="zh-CN"/>
              </w:rPr>
            </w:pPr>
            <w:r>
              <w:rPr>
                <w:rFonts w:hint="eastAsia" w:ascii="宋体" w:hAnsi="宋体" w:eastAsia="宋体" w:cs="Tahoma"/>
                <w:b/>
                <w:bCs/>
                <w:color w:val="000000"/>
                <w:kern w:val="0"/>
                <w:sz w:val="21"/>
                <w:szCs w:val="21"/>
                <w:highlight w:val="none"/>
                <w:lang w:val="en-US" w:eastAsia="zh-CN"/>
              </w:rPr>
              <w:t>提交周期</w:t>
            </w:r>
          </w:p>
        </w:tc>
        <w:tc>
          <w:tcPr>
            <w:tcW w:w="3980" w:type="dxa"/>
            <w:vAlign w:val="center"/>
          </w:tcPr>
          <w:p>
            <w:pPr>
              <w:widowControl/>
              <w:adjustRightInd/>
              <w:snapToGrid/>
              <w:spacing w:after="0" w:line="240" w:lineRule="auto"/>
              <w:ind w:left="0" w:leftChars="0" w:firstLine="0" w:firstLineChars="0"/>
              <w:jc w:val="both"/>
              <w:rPr>
                <w:rFonts w:hint="eastAsia" w:ascii="宋体" w:hAnsi="宋体" w:eastAsia="宋体" w:cs="Tahoma"/>
                <w:b/>
                <w:bCs/>
                <w:color w:val="000000"/>
                <w:kern w:val="0"/>
                <w:sz w:val="21"/>
                <w:szCs w:val="21"/>
                <w:highlight w:val="none"/>
                <w:lang w:val="en-US" w:eastAsia="zh-CN"/>
              </w:rPr>
            </w:pPr>
            <w:r>
              <w:rPr>
                <w:rFonts w:hint="eastAsia" w:ascii="宋体" w:hAnsi="宋体" w:eastAsia="宋体" w:cs="Tahoma"/>
                <w:b/>
                <w:bCs/>
                <w:color w:val="000000"/>
                <w:kern w:val="0"/>
                <w:sz w:val="21"/>
                <w:szCs w:val="21"/>
                <w:highlight w:val="none"/>
                <w:lang w:val="en-US" w:eastAsia="zh-CN"/>
              </w:rPr>
              <w:t>文档说明</w:t>
            </w:r>
          </w:p>
        </w:tc>
      </w:tr>
      <w:tr>
        <w:trPr>
          <w:trHeight w:val="0" w:hRule="atLeast"/>
          <w:tblHeader/>
          <w:jc w:val="center"/>
        </w:trPr>
        <w:tc>
          <w:tcPr>
            <w:tcW w:w="762"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1</w:t>
            </w:r>
          </w:p>
        </w:tc>
        <w:tc>
          <w:tcPr>
            <w:tcW w:w="2558"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月度网络故障处理报告</w:t>
            </w:r>
          </w:p>
        </w:tc>
        <w:tc>
          <w:tcPr>
            <w:tcW w:w="113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月</w:t>
            </w:r>
          </w:p>
        </w:tc>
        <w:tc>
          <w:tcPr>
            <w:tcW w:w="398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统计当月各网络应用系统故障率的百分比，并分析原因及提出反馈和建议</w:t>
            </w:r>
          </w:p>
        </w:tc>
      </w:tr>
      <w:tr>
        <w:trPr>
          <w:trHeight w:val="0" w:hRule="atLeast"/>
          <w:tblHeader/>
          <w:jc w:val="center"/>
        </w:trPr>
        <w:tc>
          <w:tcPr>
            <w:tcW w:w="762"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2</w:t>
            </w:r>
          </w:p>
        </w:tc>
        <w:tc>
          <w:tcPr>
            <w:tcW w:w="2558"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季度网络故障处理报告</w:t>
            </w:r>
          </w:p>
        </w:tc>
        <w:tc>
          <w:tcPr>
            <w:tcW w:w="113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季度</w:t>
            </w:r>
          </w:p>
        </w:tc>
        <w:tc>
          <w:tcPr>
            <w:tcW w:w="398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统计每季度各网络应用系统故障率的百分比，并分析原因及提出反馈和建议</w:t>
            </w:r>
          </w:p>
        </w:tc>
      </w:tr>
      <w:tr>
        <w:trPr>
          <w:trHeight w:val="0" w:hRule="atLeast"/>
          <w:tblHeader/>
          <w:jc w:val="center"/>
        </w:trPr>
        <w:tc>
          <w:tcPr>
            <w:tcW w:w="762"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3</w:t>
            </w:r>
          </w:p>
        </w:tc>
        <w:tc>
          <w:tcPr>
            <w:tcW w:w="2558"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半年度网络故障处理报告</w:t>
            </w:r>
          </w:p>
        </w:tc>
        <w:tc>
          <w:tcPr>
            <w:tcW w:w="113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半年</w:t>
            </w:r>
          </w:p>
        </w:tc>
        <w:tc>
          <w:tcPr>
            <w:tcW w:w="398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统计半年度各网络应用系统故障率的百分比，并分析原因提出反馈和建议</w:t>
            </w:r>
          </w:p>
        </w:tc>
      </w:tr>
      <w:tr>
        <w:trPr>
          <w:trHeight w:val="0" w:hRule="atLeast"/>
          <w:tblHeader/>
          <w:jc w:val="center"/>
        </w:trPr>
        <w:tc>
          <w:tcPr>
            <w:tcW w:w="762"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4</w:t>
            </w:r>
          </w:p>
        </w:tc>
        <w:tc>
          <w:tcPr>
            <w:tcW w:w="2558"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年度网络故障处理报告</w:t>
            </w:r>
          </w:p>
        </w:tc>
        <w:tc>
          <w:tcPr>
            <w:tcW w:w="113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年</w:t>
            </w:r>
          </w:p>
        </w:tc>
        <w:tc>
          <w:tcPr>
            <w:tcW w:w="398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统计年度各网络应用系统故障率的百分比，并分析原因提出反馈和建议</w:t>
            </w:r>
          </w:p>
        </w:tc>
      </w:tr>
      <w:tr>
        <w:trPr>
          <w:trHeight w:val="0" w:hRule="atLeast"/>
          <w:tblHeader/>
          <w:jc w:val="center"/>
        </w:trPr>
        <w:tc>
          <w:tcPr>
            <w:tcW w:w="762"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5</w:t>
            </w:r>
          </w:p>
        </w:tc>
        <w:tc>
          <w:tcPr>
            <w:tcW w:w="2558"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网络机房巡检报告</w:t>
            </w:r>
          </w:p>
        </w:tc>
        <w:tc>
          <w:tcPr>
            <w:tcW w:w="113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月</w:t>
            </w:r>
          </w:p>
        </w:tc>
        <w:tc>
          <w:tcPr>
            <w:tcW w:w="3980" w:type="dxa"/>
            <w:vAlign w:val="center"/>
          </w:tcPr>
          <w:p>
            <w:pPr>
              <w:widowControl/>
              <w:adjustRightInd/>
              <w:snapToGrid/>
              <w:spacing w:after="0" w:line="240" w:lineRule="auto"/>
              <w:ind w:left="0" w:leftChars="0" w:firstLine="0" w:firstLineChars="0"/>
              <w:jc w:val="both"/>
              <w:rPr>
                <w:rFonts w:hint="eastAsia" w:ascii="宋体" w:hAnsi="宋体" w:eastAsia="宋体" w:cs="Tahoma"/>
                <w:color w:val="000000"/>
                <w:kern w:val="0"/>
                <w:sz w:val="21"/>
                <w:szCs w:val="21"/>
                <w:highlight w:val="none"/>
                <w:lang w:val="en-US" w:eastAsia="zh-CN"/>
              </w:rPr>
            </w:pPr>
            <w:r>
              <w:rPr>
                <w:rFonts w:hint="eastAsia" w:ascii="宋体" w:hAnsi="宋体" w:eastAsia="宋体" w:cs="Tahoma"/>
                <w:color w:val="000000"/>
                <w:kern w:val="0"/>
                <w:sz w:val="21"/>
                <w:szCs w:val="21"/>
                <w:highlight w:val="none"/>
                <w:lang w:val="en-US" w:eastAsia="zh-CN"/>
              </w:rPr>
              <w:t>网络机房设备巡检、网络机房卫生环境清理、网络机房动力设备、网络机房UPS 不间断电源等设备及系统巡检</w:t>
            </w:r>
          </w:p>
        </w:tc>
      </w:tr>
    </w:tbl>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中标</w:t>
      </w:r>
      <w:r>
        <w:rPr>
          <w:rFonts w:hint="eastAsia" w:ascii="宋体" w:hAnsi="宋体" w:eastAsia="宋体" w:cs="宋体"/>
          <w:sz w:val="24"/>
          <w:szCs w:val="24"/>
          <w:lang w:val="en-US" w:eastAsia="zh-CN"/>
        </w:rPr>
        <w:t>人所提供的</w:t>
      </w:r>
      <w:r>
        <w:rPr>
          <w:rFonts w:hint="eastAsia" w:ascii="宋体" w:hAnsi="宋体" w:eastAsia="宋体" w:cs="宋体"/>
          <w:sz w:val="24"/>
          <w:szCs w:val="24"/>
        </w:rPr>
        <w:t>所有文件均应有简洁明了的名称和编号。各种文件的文字说明应通俗易懂，所有图纸的图幅及图形符号等均应规范化</w:t>
      </w:r>
      <w:r>
        <w:rPr>
          <w:rFonts w:hint="eastAsia" w:ascii="宋体" w:hAnsi="宋体" w:eastAsia="宋体" w:cs="宋体"/>
          <w:sz w:val="24"/>
          <w:szCs w:val="24"/>
          <w:lang w:eastAsia="zh-CN"/>
        </w:rPr>
        <w:t>。</w:t>
      </w:r>
      <w:r>
        <w:rPr>
          <w:rFonts w:hint="eastAsia" w:ascii="宋体" w:hAnsi="宋体" w:eastAsia="宋体" w:cs="宋体"/>
          <w:sz w:val="24"/>
          <w:szCs w:val="24"/>
        </w:rPr>
        <w:t>采购人有权复制中标供应商提供的资料作为设备的维护管理使用。</w:t>
      </w:r>
    </w:p>
    <w:p>
      <w:pPr>
        <w:pStyle w:val="20"/>
        <w:rPr>
          <w:rFonts w:hint="eastAsia"/>
          <w:lang w:val="zh-CN"/>
        </w:rPr>
      </w:pPr>
    </w:p>
    <w:p>
      <w:pPr>
        <w:pStyle w:val="5"/>
        <w:pageBreakBefore w:val="0"/>
        <w:kinsoku/>
        <w:wordWrap/>
        <w:overflowPunct/>
        <w:topLinePunct w:val="0"/>
        <w:autoSpaceDE/>
        <w:autoSpaceDN/>
        <w:bidi w:val="0"/>
        <w:spacing w:before="0" w:after="0" w:line="360" w:lineRule="auto"/>
        <w:textAlignment w:val="auto"/>
        <w:rPr>
          <w:rFonts w:hint="eastAsia" w:ascii="宋体" w:hAnsi="宋体" w:eastAsia="宋体" w:cs="宋体"/>
          <w:b w:val="0"/>
          <w:bCs w:val="0"/>
          <w:sz w:val="24"/>
          <w:szCs w:val="24"/>
          <w:highlight w:val="none"/>
          <w:lang w:val="zh-CN"/>
        </w:rPr>
      </w:pPr>
      <w:bookmarkStart w:id="13" w:name="_Toc441477863"/>
      <w:r>
        <w:rPr>
          <w:rFonts w:hint="eastAsia" w:ascii="宋体" w:hAnsi="宋体" w:eastAsia="宋体" w:cs="宋体"/>
          <w:b w:val="0"/>
          <w:bCs w:val="0"/>
          <w:sz w:val="24"/>
          <w:szCs w:val="24"/>
          <w:highlight w:val="none"/>
          <w:lang w:val="zh-CN"/>
        </w:rPr>
        <w:t>六、抽查、评分制度</w:t>
      </w:r>
    </w:p>
    <w:p>
      <w:pPr>
        <w:pageBreakBefore w:val="0"/>
        <w:tabs>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响应人项目负责人对驻场人员进行日常管理和综合考核，包括但不限于对员工的出勤、工作量、满意度、响应速度、服务态度、返修率、工作效率等一系列管理和考核，结合采购人的意见，及时发现服务不合要求的员工并进行适当处理（如批评教育、培训、更换或淘汰等）。若成交人某一技术人员的技术能力和服务态度被书面投诉3次或以上，经采购人和成交人共同查实后，成交人必须作出妥善解决措施，如未能及时采取有效措施消除影响的，成交人应予更换合格的技术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在每季度服务结束后10个工作日内，成交人需向采购人提交季度总结报告，并组织进行用户满意度评估，对成交人季度服务质量进行包括但不限于随机抽查科室服务满意度调查等考核，考核内容分五大项评价为：服务态度、技能水平、解决效率、整体评价，每大项评价分4小项评分为：很满意、满意、尚可和不满意，综合考核满意百分比率大于等于85%为合格（考核合格满意度指所有调查表评测项为“满意”或者“很满意”之和百分比率大于等于85%为验收合格）。对于不合格的季度满意度考核，扣罚该季度维保应付总额的5%。</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以下是服务质量季度考核表，包括《电脑服务季度满意度调查总结表》和《电脑服务季度用户满意度调查明细表》。 《电脑服务季度用户满意度调查表》从正面评价中标方的服务质量，满分为100分，85分以上评价为合格。</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电脑服务季度用户满意度调查总结表</w:t>
      </w:r>
    </w:p>
    <w:tbl>
      <w:tblPr>
        <w:tblStyle w:val="17"/>
        <w:tblW w:w="72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6"/>
        <w:gridCol w:w="950"/>
        <w:gridCol w:w="1028"/>
        <w:gridCol w:w="790"/>
        <w:gridCol w:w="1096"/>
        <w:gridCol w:w="1093"/>
        <w:gridCol w:w="1499"/>
      </w:tblGrid>
      <w:tr>
        <w:trPr>
          <w:trHeight w:val="90" w:hRule="atLeast"/>
          <w:jc w:val="center"/>
        </w:trPr>
        <w:tc>
          <w:tcPr>
            <w:tcW w:w="816"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序号</w:t>
            </w:r>
          </w:p>
        </w:tc>
        <w:tc>
          <w:tcPr>
            <w:tcW w:w="3864"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评价结果</w:t>
            </w:r>
          </w:p>
        </w:tc>
        <w:tc>
          <w:tcPr>
            <w:tcW w:w="1093"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满意度</w:t>
            </w:r>
          </w:p>
        </w:tc>
        <w:tc>
          <w:tcPr>
            <w:tcW w:w="1499"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备注</w:t>
            </w:r>
          </w:p>
        </w:tc>
      </w:tr>
      <w:tr>
        <w:trPr>
          <w:trHeight w:val="90" w:hRule="atLeast"/>
          <w:jc w:val="center"/>
        </w:trPr>
        <w:tc>
          <w:tcPr>
            <w:tcW w:w="816"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ascii="微软雅黑" w:hAnsi="微软雅黑" w:eastAsia="微软雅黑" w:cs="仿宋_GB2312"/>
                <w:szCs w:val="21"/>
                <w:highlight w:val="none"/>
                <w:lang w:val="zh-CN"/>
              </w:rPr>
            </w:pPr>
          </w:p>
        </w:tc>
        <w:tc>
          <w:tcPr>
            <w:tcW w:w="9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很满意</w:t>
            </w:r>
          </w:p>
        </w:tc>
        <w:tc>
          <w:tcPr>
            <w:tcW w:w="102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满意</w:t>
            </w:r>
          </w:p>
        </w:tc>
        <w:tc>
          <w:tcPr>
            <w:tcW w:w="7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尚可</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不满意</w:t>
            </w:r>
          </w:p>
        </w:tc>
        <w:tc>
          <w:tcPr>
            <w:tcW w:w="109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ascii="微软雅黑" w:hAnsi="微软雅黑" w:eastAsia="微软雅黑" w:cs="仿宋_GB2312"/>
                <w:szCs w:val="21"/>
                <w:highlight w:val="none"/>
                <w:lang w:val="zh-CN"/>
              </w:rPr>
            </w:pPr>
          </w:p>
        </w:tc>
        <w:tc>
          <w:tcPr>
            <w:tcW w:w="1499"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ascii="微软雅黑" w:hAnsi="微软雅黑" w:eastAsia="微软雅黑" w:cs="仿宋_GB2312"/>
                <w:szCs w:val="21"/>
                <w:highlight w:val="none"/>
                <w:lang w:val="zh-CN"/>
              </w:rPr>
            </w:pPr>
          </w:p>
        </w:tc>
      </w:tr>
      <w:tr>
        <w:trPr>
          <w:trHeight w:val="90" w:hRule="atLeast"/>
          <w:jc w:val="center"/>
        </w:trPr>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ascii="微软雅黑" w:hAnsi="微软雅黑" w:eastAsia="微软雅黑" w:cs="仿宋_GB2312"/>
                <w:szCs w:val="21"/>
                <w:highlight w:val="none"/>
                <w:lang w:val="zh-CN"/>
              </w:rPr>
              <w:t>1</w:t>
            </w:r>
          </w:p>
        </w:tc>
        <w:tc>
          <w:tcPr>
            <w:tcW w:w="9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2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7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499"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本表为随机抽查医院</w:t>
            </w:r>
            <w:r>
              <w:rPr>
                <w:rFonts w:ascii="微软雅黑" w:hAnsi="微软雅黑" w:eastAsia="微软雅黑" w:cs="仿宋_GB2312"/>
                <w:szCs w:val="21"/>
                <w:highlight w:val="none"/>
                <w:lang w:val="zh-CN"/>
              </w:rPr>
              <w:t>电脑使用科室的调查结果</w:t>
            </w:r>
          </w:p>
        </w:tc>
      </w:tr>
      <w:tr>
        <w:trPr>
          <w:trHeight w:val="482" w:hRule="atLeast"/>
          <w:jc w:val="center"/>
        </w:trPr>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ascii="微软雅黑" w:hAnsi="微软雅黑" w:eastAsia="微软雅黑" w:cs="仿宋_GB2312"/>
                <w:szCs w:val="21"/>
                <w:highlight w:val="none"/>
                <w:lang w:val="zh-CN"/>
              </w:rPr>
              <w:t>2</w:t>
            </w:r>
          </w:p>
        </w:tc>
        <w:tc>
          <w:tcPr>
            <w:tcW w:w="9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2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7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499"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ascii="微软雅黑" w:hAnsi="微软雅黑" w:eastAsia="微软雅黑" w:cs="仿宋_GB2312"/>
                <w:szCs w:val="21"/>
                <w:highlight w:val="none"/>
                <w:lang w:val="zh-CN"/>
              </w:rPr>
            </w:pPr>
          </w:p>
        </w:tc>
      </w:tr>
      <w:tr>
        <w:trPr>
          <w:trHeight w:val="90" w:hRule="atLeast"/>
          <w:jc w:val="center"/>
        </w:trPr>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ascii="微软雅黑" w:hAnsi="微软雅黑" w:eastAsia="微软雅黑" w:cs="仿宋_GB2312"/>
                <w:szCs w:val="21"/>
                <w:highlight w:val="none"/>
                <w:lang w:val="zh-CN"/>
              </w:rPr>
              <w:t>3</w:t>
            </w:r>
          </w:p>
        </w:tc>
        <w:tc>
          <w:tcPr>
            <w:tcW w:w="9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2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7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499"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ascii="微软雅黑" w:hAnsi="微软雅黑" w:eastAsia="微软雅黑" w:cs="仿宋_GB2312"/>
                <w:szCs w:val="21"/>
                <w:highlight w:val="none"/>
                <w:lang w:val="zh-CN"/>
              </w:rPr>
            </w:pPr>
          </w:p>
        </w:tc>
      </w:tr>
      <w:tr>
        <w:trPr>
          <w:trHeight w:val="90" w:hRule="atLeast"/>
          <w:jc w:val="center"/>
        </w:trPr>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r>
              <w:rPr>
                <w:rFonts w:ascii="微软雅黑" w:hAnsi="微软雅黑" w:eastAsia="微软雅黑" w:cs="仿宋_GB2312"/>
                <w:szCs w:val="21"/>
                <w:highlight w:val="none"/>
                <w:lang w:val="zh-CN"/>
              </w:rPr>
              <w:t>4</w:t>
            </w:r>
          </w:p>
        </w:tc>
        <w:tc>
          <w:tcPr>
            <w:tcW w:w="9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2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79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微软雅黑" w:hAnsi="微软雅黑" w:eastAsia="微软雅黑" w:cs="仿宋_GB2312"/>
                <w:szCs w:val="21"/>
                <w:highlight w:val="none"/>
                <w:lang w:val="zh-CN"/>
              </w:rPr>
            </w:pPr>
          </w:p>
        </w:tc>
        <w:tc>
          <w:tcPr>
            <w:tcW w:w="1499"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ascii="微软雅黑" w:hAnsi="微软雅黑" w:eastAsia="微软雅黑" w:cs="仿宋_GB2312"/>
                <w:szCs w:val="21"/>
                <w:highlight w:val="none"/>
                <w:lang w:val="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微软雅黑" w:hAnsi="微软雅黑" w:eastAsia="微软雅黑" w:cs="仿宋_GB2312"/>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电脑服务季度用户满意度调查表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尊敬的科室用户：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您好！感谢您长期以来对我们电脑维护服务的支持和信任！我们真诚地邀请您协助我们完成本问卷，您的任何意见和建议都将激发我们服务质量的不断完善和提高，谢谢！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客户名称:中山大学孙逸仙纪念医院</w:t>
      </w:r>
      <w:r>
        <w:rPr>
          <w:rFonts w:hint="eastAsia" w:ascii="宋体" w:hAnsi="宋体" w:cs="宋体"/>
          <w:sz w:val="24"/>
          <w:szCs w:val="24"/>
          <w:highlight w:val="none"/>
          <w:lang w:val="en-US" w:eastAsia="zh-CN"/>
        </w:rPr>
        <w:t>深汕中心医院</w:t>
      </w:r>
      <w:r>
        <w:rPr>
          <w:rFonts w:hint="eastAsia" w:ascii="宋体" w:hAnsi="宋体" w:eastAsia="宋体" w:cs="宋体"/>
          <w:sz w:val="24"/>
          <w:szCs w:val="24"/>
          <w:highlight w:val="none"/>
          <w:lang w:val="zh-CN"/>
        </w:rPr>
        <w:t xml:space="preserve">   日期:    年  月  日</w:t>
      </w:r>
    </w:p>
    <w:p>
      <w:pPr>
        <w:pStyle w:val="10"/>
        <w:rPr>
          <w:rFonts w:hint="eastAsia" w:ascii="宋体" w:hAnsi="宋体" w:eastAsia="宋体" w:cs="宋体"/>
          <w:sz w:val="24"/>
          <w:szCs w:val="24"/>
          <w:highlight w:val="none"/>
          <w:lang w:val="zh-CN"/>
        </w:rPr>
      </w:pPr>
    </w:p>
    <w:p>
      <w:pPr>
        <w:pStyle w:val="20"/>
        <w:rPr>
          <w:rFonts w:hint="eastAsia" w:ascii="宋体" w:hAnsi="宋体" w:eastAsia="宋体" w:cs="宋体"/>
          <w:sz w:val="24"/>
          <w:szCs w:val="24"/>
          <w:highlight w:val="none"/>
          <w:lang w:val="zh-CN"/>
        </w:rPr>
      </w:pPr>
    </w:p>
    <w:p>
      <w:pPr>
        <w:pStyle w:val="20"/>
        <w:rPr>
          <w:rFonts w:hint="eastAsia" w:ascii="宋体" w:hAnsi="宋体" w:eastAsia="宋体" w:cs="宋体"/>
          <w:sz w:val="24"/>
          <w:szCs w:val="24"/>
          <w:highlight w:val="none"/>
          <w:lang w:val="zh-CN"/>
        </w:rPr>
      </w:pP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37"/>
        <w:gridCol w:w="1348"/>
        <w:gridCol w:w="1748"/>
        <w:gridCol w:w="1557"/>
        <w:gridCol w:w="1385"/>
        <w:gridCol w:w="1245"/>
      </w:tblGrid>
      <w:tr>
        <w:trPr>
          <w:cantSplit/>
          <w:trHeight w:val="90" w:hRule="atLeast"/>
          <w:jc w:val="center"/>
        </w:trPr>
        <w:tc>
          <w:tcPr>
            <w:tcW w:w="1237" w:type="dxa"/>
            <w:tcBorders>
              <w:top w:val="single" w:color="auto" w:sz="4" w:space="0"/>
              <w:left w:val="single" w:color="auto" w:sz="4"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科室部门</w:t>
            </w:r>
          </w:p>
        </w:tc>
        <w:tc>
          <w:tcPr>
            <w:tcW w:w="1348"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p>
        </w:tc>
        <w:tc>
          <w:tcPr>
            <w:tcW w:w="1748"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负责人签名</w:t>
            </w:r>
          </w:p>
        </w:tc>
        <w:tc>
          <w:tcPr>
            <w:tcW w:w="1557"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p>
        </w:tc>
        <w:tc>
          <w:tcPr>
            <w:tcW w:w="1385"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电话</w:t>
            </w:r>
            <w:r>
              <w:rPr>
                <w:rFonts w:ascii="微软雅黑" w:hAnsi="微软雅黑" w:eastAsia="微软雅黑" w:cs="仿宋_GB2312"/>
                <w:szCs w:val="21"/>
                <w:highlight w:val="none"/>
                <w:lang w:val="zh-CN"/>
              </w:rPr>
              <w:t>/分机</w:t>
            </w:r>
          </w:p>
        </w:tc>
        <w:tc>
          <w:tcPr>
            <w:tcW w:w="1245" w:type="dxa"/>
            <w:tcBorders>
              <w:top w:val="single" w:color="auto" w:sz="4" w:space="0"/>
              <w:left w:val="single" w:color="auto" w:sz="6" w:space="0"/>
              <w:bottom w:val="single" w:color="auto" w:sz="6" w:space="0"/>
              <w:right w:val="single" w:color="auto" w:sz="4"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p>
        </w:tc>
      </w:tr>
      <w:tr>
        <w:trPr>
          <w:cantSplit/>
          <w:trHeight w:val="90" w:hRule="atLeast"/>
          <w:jc w:val="center"/>
        </w:trPr>
        <w:tc>
          <w:tcPr>
            <w:tcW w:w="8520" w:type="dxa"/>
            <w:gridSpan w:val="6"/>
            <w:tcBorders>
              <w:top w:val="single" w:color="auto" w:sz="6" w:space="0"/>
              <w:left w:val="single" w:color="auto" w:sz="4" w:space="0"/>
              <w:bottom w:val="single" w:color="auto" w:sz="6" w:space="0"/>
              <w:right w:val="single" w:color="auto" w:sz="4"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请您对上门技术员的服务质量进行评价</w:t>
            </w:r>
          </w:p>
        </w:tc>
      </w:tr>
      <w:tr>
        <w:trPr>
          <w:cantSplit/>
          <w:trHeight w:val="90" w:hRule="atLeast"/>
          <w:jc w:val="center"/>
        </w:trPr>
        <w:tc>
          <w:tcPr>
            <w:tcW w:w="2585"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1</w:t>
            </w:r>
            <w:r>
              <w:rPr>
                <w:rFonts w:ascii="微软雅黑" w:hAnsi="微软雅黑" w:eastAsia="微软雅黑" w:cs="仿宋_GB2312"/>
                <w:szCs w:val="21"/>
                <w:highlight w:val="none"/>
                <w:lang w:val="zh-CN"/>
              </w:rPr>
              <w:t>、服务态度</w:t>
            </w:r>
          </w:p>
        </w:tc>
        <w:tc>
          <w:tcPr>
            <w:tcW w:w="5935" w:type="dxa"/>
            <w:gridSpan w:val="4"/>
            <w:tcBorders>
              <w:top w:val="single" w:color="auto" w:sz="6" w:space="0"/>
              <w:left w:val="single" w:color="auto" w:sz="6" w:space="0"/>
              <w:bottom w:val="single" w:color="auto" w:sz="6" w:space="0"/>
              <w:right w:val="single" w:color="auto" w:sz="4"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口很满意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　口尚可</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口不满意</w:t>
            </w:r>
          </w:p>
        </w:tc>
      </w:tr>
      <w:tr>
        <w:trPr>
          <w:cantSplit/>
          <w:trHeight w:val="90" w:hRule="atLeast"/>
          <w:jc w:val="center"/>
        </w:trPr>
        <w:tc>
          <w:tcPr>
            <w:tcW w:w="2585"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2</w:t>
            </w:r>
            <w:r>
              <w:rPr>
                <w:rFonts w:ascii="微软雅黑" w:hAnsi="微软雅黑" w:eastAsia="微软雅黑" w:cs="仿宋_GB2312"/>
                <w:szCs w:val="21"/>
                <w:highlight w:val="none"/>
                <w:lang w:val="zh-CN"/>
              </w:rPr>
              <w:t>、技能水平</w:t>
            </w:r>
          </w:p>
        </w:tc>
        <w:tc>
          <w:tcPr>
            <w:tcW w:w="5935" w:type="dxa"/>
            <w:gridSpan w:val="4"/>
            <w:tcBorders>
              <w:top w:val="single" w:color="auto" w:sz="6" w:space="0"/>
              <w:left w:val="single" w:color="auto" w:sz="6" w:space="0"/>
              <w:bottom w:val="single" w:color="auto" w:sz="6" w:space="0"/>
              <w:right w:val="single" w:color="auto" w:sz="4"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口很满意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　口尚可</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口不满意</w:t>
            </w:r>
          </w:p>
        </w:tc>
      </w:tr>
      <w:tr>
        <w:trPr>
          <w:cantSplit/>
          <w:trHeight w:val="90" w:hRule="atLeast"/>
          <w:jc w:val="center"/>
        </w:trPr>
        <w:tc>
          <w:tcPr>
            <w:tcW w:w="2585"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3</w:t>
            </w:r>
            <w:r>
              <w:rPr>
                <w:rFonts w:ascii="微软雅黑" w:hAnsi="微软雅黑" w:eastAsia="微软雅黑" w:cs="仿宋_GB2312"/>
                <w:szCs w:val="21"/>
                <w:highlight w:val="none"/>
                <w:lang w:val="zh-CN"/>
              </w:rPr>
              <w:t>、解决效率</w:t>
            </w:r>
          </w:p>
        </w:tc>
        <w:tc>
          <w:tcPr>
            <w:tcW w:w="5935" w:type="dxa"/>
            <w:gridSpan w:val="4"/>
            <w:tcBorders>
              <w:top w:val="single" w:color="auto" w:sz="6" w:space="0"/>
              <w:left w:val="single" w:color="auto" w:sz="6" w:space="0"/>
              <w:bottom w:val="single" w:color="auto" w:sz="6" w:space="0"/>
              <w:right w:val="single" w:color="auto" w:sz="4"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口很满意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　口尚可</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口不满意</w:t>
            </w:r>
          </w:p>
        </w:tc>
      </w:tr>
      <w:tr>
        <w:trPr>
          <w:cantSplit/>
          <w:trHeight w:val="90" w:hRule="atLeast"/>
          <w:jc w:val="center"/>
        </w:trPr>
        <w:tc>
          <w:tcPr>
            <w:tcW w:w="2585"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4</w:t>
            </w:r>
            <w:r>
              <w:rPr>
                <w:rFonts w:ascii="微软雅黑" w:hAnsi="微软雅黑" w:eastAsia="微软雅黑" w:cs="仿宋_GB2312"/>
                <w:szCs w:val="21"/>
                <w:highlight w:val="none"/>
                <w:lang w:val="zh-CN"/>
              </w:rPr>
              <w:t>、整体评价</w:t>
            </w:r>
          </w:p>
        </w:tc>
        <w:tc>
          <w:tcPr>
            <w:tcW w:w="5935" w:type="dxa"/>
            <w:gridSpan w:val="4"/>
            <w:tcBorders>
              <w:top w:val="single" w:color="auto" w:sz="6" w:space="0"/>
              <w:left w:val="single" w:color="auto" w:sz="6" w:space="0"/>
              <w:bottom w:val="single" w:color="auto" w:sz="6" w:space="0"/>
              <w:right w:val="single" w:color="auto" w:sz="4" w:space="0"/>
            </w:tcBorders>
            <w:shd w:val="clear" w:color="auto" w:fill="FFFFFF"/>
            <w:noWrap w:val="0"/>
            <w:vAlign w:val="center"/>
          </w:tcPr>
          <w:p>
            <w:pPr>
              <w:spacing w:line="360" w:lineRule="auto"/>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口很满意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口满意</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　口尚可</w:t>
            </w:r>
            <w:r>
              <w:rPr>
                <w:rFonts w:ascii="微软雅黑" w:hAnsi="微软雅黑" w:eastAsia="微软雅黑" w:cs="仿宋_GB2312"/>
                <w:szCs w:val="21"/>
                <w:highlight w:val="none"/>
                <w:lang w:val="zh-CN"/>
              </w:rPr>
              <w:t xml:space="preserve">     </w:t>
            </w:r>
            <w:r>
              <w:rPr>
                <w:rFonts w:hint="eastAsia" w:ascii="微软雅黑" w:hAnsi="微软雅黑" w:eastAsia="微软雅黑" w:cs="仿宋_GB2312"/>
                <w:szCs w:val="21"/>
                <w:highlight w:val="none"/>
                <w:lang w:val="zh-CN"/>
              </w:rPr>
              <w:t>口不满意</w:t>
            </w:r>
          </w:p>
        </w:tc>
      </w:tr>
      <w:tr>
        <w:trPr>
          <w:cantSplit/>
          <w:trHeight w:val="90" w:hRule="atLeast"/>
          <w:jc w:val="center"/>
        </w:trPr>
        <w:tc>
          <w:tcPr>
            <w:tcW w:w="8520" w:type="dxa"/>
            <w:gridSpan w:val="6"/>
            <w:tcBorders>
              <w:top w:val="single" w:color="auto" w:sz="6" w:space="0"/>
              <w:left w:val="single" w:color="auto" w:sz="4" w:space="0"/>
              <w:bottom w:val="single" w:color="auto" w:sz="4" w:space="0"/>
              <w:right w:val="single" w:color="auto" w:sz="4" w:space="0"/>
            </w:tcBorders>
            <w:shd w:val="clear" w:color="auto" w:fill="FFFFFF"/>
            <w:noWrap w:val="0"/>
            <w:vAlign w:val="center"/>
          </w:tcPr>
          <w:p>
            <w:pPr>
              <w:spacing w:line="360" w:lineRule="auto"/>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你的要求和建议</w:t>
            </w:r>
            <w:r>
              <w:rPr>
                <w:rFonts w:ascii="微软雅黑" w:hAnsi="微软雅黑" w:eastAsia="微软雅黑" w:cs="仿宋_GB2312"/>
                <w:szCs w:val="21"/>
                <w:highlight w:val="none"/>
                <w:lang w:val="zh-CN"/>
              </w:rPr>
              <w:t>:</w:t>
            </w:r>
          </w:p>
        </w:tc>
      </w:tr>
    </w:tbl>
    <w:p>
      <w:pPr>
        <w:keepNext w:val="0"/>
        <w:keepLines w:val="0"/>
        <w:pageBreakBefore w:val="0"/>
        <w:widowControl/>
        <w:numPr>
          <w:ilvl w:val="0"/>
          <w:numId w:val="14"/>
        </w:numPr>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惩罚制度</w:t>
      </w:r>
    </w:p>
    <w:p>
      <w:pPr>
        <w:pStyle w:val="22"/>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zh-CN" w:eastAsia="zh-CN"/>
        </w:rPr>
      </w:pPr>
      <w:r>
        <w:rPr>
          <w:rFonts w:hint="eastAsia" w:ascii="宋体" w:hAnsi="宋体" w:eastAsia="宋体" w:cs="宋体"/>
          <w:kern w:val="2"/>
          <w:sz w:val="24"/>
          <w:szCs w:val="24"/>
          <w:highlight w:val="none"/>
          <w:lang w:val="zh-CN" w:eastAsia="zh-CN"/>
        </w:rPr>
        <w:t>1、服务质量每季度考核一次（考核及格才按服务质量情况扣减相应金额后支付服务费），包括但不限于：</w:t>
      </w: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迟到或早退（一小时内），每人次扣50元；</w:t>
      </w: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迟到或早退（一小时至两个小时），每人次扣100元；</w:t>
      </w: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迟到或早退两个小时以上，当旷工一个早上或一个下午处理，每人次扣200元；</w:t>
      </w: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旷工一个早上或一个下午，每人次扣200元；</w:t>
      </w: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如确有事需要请假的，应提前向</w:t>
      </w:r>
      <w:r>
        <w:rPr>
          <w:rFonts w:hint="eastAsia" w:ascii="宋体" w:hAnsi="宋体" w:cs="宋体"/>
          <w:sz w:val="24"/>
          <w:szCs w:val="24"/>
          <w:highlight w:val="none"/>
          <w:lang w:val="zh-CN"/>
        </w:rPr>
        <w:t>信息与网络管理中心</w:t>
      </w:r>
      <w:r>
        <w:rPr>
          <w:rFonts w:hint="eastAsia" w:ascii="宋体" w:hAnsi="宋体" w:eastAsia="宋体" w:cs="宋体"/>
          <w:sz w:val="24"/>
          <w:szCs w:val="24"/>
          <w:highlight w:val="none"/>
          <w:lang w:val="zh-CN"/>
        </w:rPr>
        <w:t>申请并得到批准，可以请假，请假时间需要补回；</w:t>
      </w: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一个月（以自然月计算）有10人次迟到或早退，或者有5人次旷工，本季度考核不及格；</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845"/>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应急响应服务未能及时处置，报障后2小时内未能抵达现场，每次扣300元，如因此导致采购人产生其他严重后果，应进行进一步赔偿。</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2、投诉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若有有理投诉，一经查实，每次扣300元。季度有10次及以上投诉，本季度考核不及格。</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3、响应人承诺但没有兑现的。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以下是服务质量季度考核表，包括《季度罚金统计表》。《季度罚金统计表》统计季度罚金数额，从服务商应得的服务费中扣减；</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《季度罚金统计表》</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被考核单位：（乙方公司名称）           考核时间：年月 至 年月</w:t>
      </w:r>
    </w:p>
    <w:tbl>
      <w:tblPr>
        <w:tblStyle w:val="17"/>
        <w:tblW w:w="515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328"/>
        <w:gridCol w:w="1906"/>
        <w:gridCol w:w="706"/>
        <w:gridCol w:w="844"/>
        <w:gridCol w:w="729"/>
        <w:gridCol w:w="550"/>
        <w:gridCol w:w="3610"/>
      </w:tblGrid>
      <w:tr>
        <w:trPr>
          <w:trHeight w:val="482" w:hRule="atLeast"/>
          <w:jc w:val="center"/>
        </w:trPr>
        <w:tc>
          <w:tcPr>
            <w:tcW w:w="189"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序号</w:t>
            </w:r>
          </w:p>
        </w:tc>
        <w:tc>
          <w:tcPr>
            <w:tcW w:w="1098"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考核项目</w:t>
            </w:r>
          </w:p>
        </w:tc>
        <w:tc>
          <w:tcPr>
            <w:tcW w:w="40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单位</w:t>
            </w:r>
          </w:p>
        </w:tc>
        <w:tc>
          <w:tcPr>
            <w:tcW w:w="486"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数量</w:t>
            </w:r>
          </w:p>
        </w:tc>
        <w:tc>
          <w:tcPr>
            <w:tcW w:w="420"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单位罚金</w:t>
            </w: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扣罚金额</w:t>
            </w:r>
          </w:p>
        </w:tc>
        <w:tc>
          <w:tcPr>
            <w:tcW w:w="2080"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备注</w:t>
            </w:r>
          </w:p>
        </w:tc>
      </w:tr>
      <w:tr>
        <w:trPr>
          <w:trHeight w:val="524" w:hRule="atLeast"/>
          <w:jc w:val="center"/>
        </w:trPr>
        <w:tc>
          <w:tcPr>
            <w:tcW w:w="189" w:type="pct"/>
            <w:noWrap w:val="0"/>
            <w:tcMar>
              <w:left w:w="57" w:type="dxa"/>
              <w:right w:w="57" w:type="dxa"/>
            </w:tcMar>
            <w:vAlign w:val="center"/>
          </w:tcPr>
          <w:p>
            <w:pPr>
              <w:widowControl/>
              <w:numPr>
                <w:ilvl w:val="0"/>
                <w:numId w:val="16"/>
              </w:numPr>
              <w:adjustRightInd w:val="0"/>
              <w:snapToGrid w:val="0"/>
              <w:jc w:val="right"/>
              <w:rPr>
                <w:rFonts w:ascii="微软雅黑" w:hAnsi="微软雅黑" w:eastAsia="微软雅黑" w:cs="仿宋_GB2312"/>
                <w:szCs w:val="21"/>
                <w:highlight w:val="none"/>
                <w:lang w:val="zh-CN"/>
              </w:rPr>
            </w:pPr>
          </w:p>
        </w:tc>
        <w:tc>
          <w:tcPr>
            <w:tcW w:w="1098"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迟到或早退（一小时内）</w:t>
            </w:r>
          </w:p>
        </w:tc>
        <w:tc>
          <w:tcPr>
            <w:tcW w:w="40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人次</w:t>
            </w:r>
          </w:p>
        </w:tc>
        <w:tc>
          <w:tcPr>
            <w:tcW w:w="486"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p>
        </w:tc>
        <w:tc>
          <w:tcPr>
            <w:tcW w:w="420" w:type="pct"/>
            <w:noWrap w:val="0"/>
            <w:tcMar>
              <w:left w:w="57" w:type="dxa"/>
              <w:right w:w="57" w:type="dxa"/>
            </w:tcMar>
            <w:vAlign w:val="center"/>
          </w:tcPr>
          <w:p>
            <w:pPr>
              <w:adjustRightInd w:val="0"/>
              <w:snapToGrid w:val="0"/>
              <w:ind w:left="-3" w:leftChars="-107" w:right="-55" w:rightChars="-26" w:hanging="222" w:hangingChars="106"/>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￥50</w:t>
            </w: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p>
        </w:tc>
        <w:tc>
          <w:tcPr>
            <w:tcW w:w="2080" w:type="pct"/>
            <w:vMerge w:val="restar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若有一个月（以自然月计算）发生10人次迟到或早退，本季度考核不及格</w:t>
            </w:r>
          </w:p>
        </w:tc>
      </w:tr>
      <w:tr>
        <w:trPr>
          <w:trHeight w:val="360" w:hRule="atLeast"/>
          <w:jc w:val="center"/>
        </w:trPr>
        <w:tc>
          <w:tcPr>
            <w:tcW w:w="189" w:type="pct"/>
            <w:noWrap w:val="0"/>
            <w:tcMar>
              <w:left w:w="57" w:type="dxa"/>
              <w:right w:w="57" w:type="dxa"/>
            </w:tcMar>
            <w:vAlign w:val="center"/>
          </w:tcPr>
          <w:p>
            <w:pPr>
              <w:widowControl/>
              <w:numPr>
                <w:ilvl w:val="0"/>
                <w:numId w:val="16"/>
              </w:numPr>
              <w:adjustRightInd w:val="0"/>
              <w:snapToGrid w:val="0"/>
              <w:jc w:val="center"/>
              <w:rPr>
                <w:rFonts w:ascii="微软雅黑" w:hAnsi="微软雅黑" w:eastAsia="微软雅黑" w:cs="仿宋_GB2312"/>
                <w:szCs w:val="21"/>
                <w:highlight w:val="none"/>
                <w:lang w:val="zh-CN"/>
              </w:rPr>
            </w:pPr>
          </w:p>
        </w:tc>
        <w:tc>
          <w:tcPr>
            <w:tcW w:w="1098"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迟到或早退（一小时至两个小时）</w:t>
            </w:r>
          </w:p>
        </w:tc>
        <w:tc>
          <w:tcPr>
            <w:tcW w:w="40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人次</w:t>
            </w:r>
          </w:p>
        </w:tc>
        <w:tc>
          <w:tcPr>
            <w:tcW w:w="486"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p>
        </w:tc>
        <w:tc>
          <w:tcPr>
            <w:tcW w:w="420" w:type="pct"/>
            <w:noWrap w:val="0"/>
            <w:tcMar>
              <w:left w:w="57" w:type="dxa"/>
              <w:right w:w="57" w:type="dxa"/>
            </w:tcMar>
            <w:vAlign w:val="center"/>
          </w:tcPr>
          <w:p>
            <w:pPr>
              <w:adjustRightInd w:val="0"/>
              <w:snapToGrid w:val="0"/>
              <w:ind w:left="-3" w:leftChars="-107" w:right="-55" w:rightChars="-26" w:hanging="222" w:hangingChars="106"/>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￥100</w:t>
            </w: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p>
        </w:tc>
        <w:tc>
          <w:tcPr>
            <w:tcW w:w="2080" w:type="pct"/>
            <w:vMerge w:val="continue"/>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r>
      <w:tr>
        <w:trPr>
          <w:trHeight w:val="360" w:hRule="atLeast"/>
          <w:jc w:val="center"/>
        </w:trPr>
        <w:tc>
          <w:tcPr>
            <w:tcW w:w="189" w:type="pct"/>
            <w:noWrap w:val="0"/>
            <w:tcMar>
              <w:left w:w="57" w:type="dxa"/>
              <w:right w:w="57" w:type="dxa"/>
            </w:tcMar>
            <w:vAlign w:val="center"/>
          </w:tcPr>
          <w:p>
            <w:pPr>
              <w:widowControl/>
              <w:numPr>
                <w:ilvl w:val="0"/>
                <w:numId w:val="16"/>
              </w:numPr>
              <w:adjustRightInd w:val="0"/>
              <w:snapToGrid w:val="0"/>
              <w:jc w:val="center"/>
              <w:rPr>
                <w:rFonts w:ascii="微软雅黑" w:hAnsi="微软雅黑" w:eastAsia="微软雅黑" w:cs="仿宋_GB2312"/>
                <w:szCs w:val="21"/>
                <w:highlight w:val="none"/>
                <w:lang w:val="zh-CN"/>
              </w:rPr>
            </w:pPr>
          </w:p>
        </w:tc>
        <w:tc>
          <w:tcPr>
            <w:tcW w:w="1098"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旷工一个早上或一个下午</w:t>
            </w:r>
          </w:p>
        </w:tc>
        <w:tc>
          <w:tcPr>
            <w:tcW w:w="40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人次</w:t>
            </w:r>
          </w:p>
        </w:tc>
        <w:tc>
          <w:tcPr>
            <w:tcW w:w="486"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p>
        </w:tc>
        <w:tc>
          <w:tcPr>
            <w:tcW w:w="420" w:type="pct"/>
            <w:noWrap w:val="0"/>
            <w:tcMar>
              <w:left w:w="57" w:type="dxa"/>
              <w:right w:w="57" w:type="dxa"/>
            </w:tcMar>
            <w:vAlign w:val="center"/>
          </w:tcPr>
          <w:p>
            <w:pPr>
              <w:adjustRightInd w:val="0"/>
              <w:snapToGrid w:val="0"/>
              <w:ind w:left="-3" w:leftChars="-107" w:right="-55" w:rightChars="-26" w:hanging="222" w:hangingChars="106"/>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￥200</w:t>
            </w: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p>
        </w:tc>
        <w:tc>
          <w:tcPr>
            <w:tcW w:w="2080" w:type="pct"/>
            <w:noWrap w:val="0"/>
            <w:tcMar>
              <w:left w:w="57" w:type="dxa"/>
              <w:right w:w="57" w:type="dxa"/>
            </w:tcMar>
            <w:vAlign w:val="top"/>
          </w:tcPr>
          <w:p>
            <w:pPr>
              <w:widowControl/>
              <w:numPr>
                <w:ilvl w:val="0"/>
                <w:numId w:val="17"/>
              </w:numPr>
              <w:adjustRightInd w:val="0"/>
              <w:snapToGrid w:val="0"/>
              <w:ind w:left="225" w:hanging="225"/>
              <w:jc w:val="left"/>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迟到或早退两个小时以上，当旷工一个早上或一个下午处理；</w:t>
            </w:r>
          </w:p>
          <w:p>
            <w:pPr>
              <w:widowControl/>
              <w:numPr>
                <w:ilvl w:val="0"/>
                <w:numId w:val="17"/>
              </w:numPr>
              <w:adjustRightInd w:val="0"/>
              <w:snapToGrid w:val="0"/>
              <w:ind w:left="225" w:hanging="225"/>
              <w:jc w:val="left"/>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若有一个月（以自然月计算）发生5人次旷工，本季度考核不及格</w:t>
            </w:r>
          </w:p>
        </w:tc>
      </w:tr>
      <w:tr>
        <w:trPr>
          <w:trHeight w:val="360" w:hRule="atLeast"/>
          <w:jc w:val="center"/>
        </w:trPr>
        <w:tc>
          <w:tcPr>
            <w:tcW w:w="189" w:type="pct"/>
            <w:noWrap w:val="0"/>
            <w:tcMar>
              <w:left w:w="57" w:type="dxa"/>
              <w:right w:w="57" w:type="dxa"/>
            </w:tcMar>
            <w:vAlign w:val="center"/>
          </w:tcPr>
          <w:p>
            <w:pPr>
              <w:widowControl/>
              <w:numPr>
                <w:ilvl w:val="0"/>
                <w:numId w:val="16"/>
              </w:numPr>
              <w:adjustRightInd w:val="0"/>
              <w:snapToGrid w:val="0"/>
              <w:jc w:val="center"/>
              <w:rPr>
                <w:rFonts w:ascii="微软雅黑" w:hAnsi="微软雅黑" w:eastAsia="微软雅黑" w:cs="仿宋_GB2312"/>
                <w:szCs w:val="21"/>
                <w:highlight w:val="none"/>
                <w:lang w:val="zh-CN"/>
              </w:rPr>
            </w:pPr>
          </w:p>
        </w:tc>
        <w:tc>
          <w:tcPr>
            <w:tcW w:w="1098"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投诉查实</w:t>
            </w:r>
          </w:p>
        </w:tc>
        <w:tc>
          <w:tcPr>
            <w:tcW w:w="40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次</w:t>
            </w:r>
          </w:p>
        </w:tc>
        <w:tc>
          <w:tcPr>
            <w:tcW w:w="486"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c>
          <w:tcPr>
            <w:tcW w:w="420" w:type="pct"/>
            <w:noWrap w:val="0"/>
            <w:tcMar>
              <w:left w:w="57" w:type="dxa"/>
              <w:right w:w="57" w:type="dxa"/>
            </w:tcMar>
            <w:vAlign w:val="center"/>
          </w:tcPr>
          <w:p>
            <w:pPr>
              <w:adjustRightInd w:val="0"/>
              <w:snapToGrid w:val="0"/>
              <w:ind w:left="-3" w:leftChars="-107" w:right="-55" w:rightChars="-26" w:hanging="222" w:hangingChars="106"/>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￥300</w:t>
            </w: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p>
        </w:tc>
        <w:tc>
          <w:tcPr>
            <w:tcW w:w="2080"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季度内若有10次或以上投诉被查实，本季度考核不及格</w:t>
            </w:r>
          </w:p>
        </w:tc>
      </w:tr>
      <w:tr>
        <w:trPr>
          <w:trHeight w:val="360" w:hRule="atLeast"/>
          <w:jc w:val="center"/>
        </w:trPr>
        <w:tc>
          <w:tcPr>
            <w:tcW w:w="189" w:type="pct"/>
            <w:noWrap w:val="0"/>
            <w:tcMar>
              <w:left w:w="57" w:type="dxa"/>
              <w:right w:w="57" w:type="dxa"/>
            </w:tcMar>
            <w:vAlign w:val="center"/>
          </w:tcPr>
          <w:p>
            <w:pPr>
              <w:widowControl/>
              <w:numPr>
                <w:ilvl w:val="0"/>
                <w:numId w:val="16"/>
              </w:numPr>
              <w:adjustRightInd w:val="0"/>
              <w:snapToGrid w:val="0"/>
              <w:jc w:val="center"/>
              <w:rPr>
                <w:rFonts w:ascii="微软雅黑" w:hAnsi="微软雅黑" w:eastAsia="微软雅黑" w:cs="仿宋_GB2312"/>
                <w:szCs w:val="21"/>
                <w:highlight w:val="none"/>
                <w:lang w:val="zh-CN"/>
              </w:rPr>
            </w:pPr>
          </w:p>
        </w:tc>
        <w:tc>
          <w:tcPr>
            <w:tcW w:w="1098"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应急响应报障后2小时未抵达现场</w:t>
            </w:r>
          </w:p>
        </w:tc>
        <w:tc>
          <w:tcPr>
            <w:tcW w:w="40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次</w:t>
            </w:r>
          </w:p>
        </w:tc>
        <w:tc>
          <w:tcPr>
            <w:tcW w:w="486"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c>
          <w:tcPr>
            <w:tcW w:w="420" w:type="pct"/>
            <w:noWrap w:val="0"/>
            <w:tcMar>
              <w:left w:w="57" w:type="dxa"/>
              <w:right w:w="57" w:type="dxa"/>
            </w:tcMar>
            <w:vAlign w:val="center"/>
          </w:tcPr>
          <w:p>
            <w:pPr>
              <w:adjustRightInd w:val="0"/>
              <w:snapToGrid w:val="0"/>
              <w:ind w:left="-3" w:leftChars="-107" w:right="-55" w:rightChars="-26" w:hanging="222" w:hangingChars="106"/>
              <w:jc w:val="center"/>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￥300</w:t>
            </w: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p>
        </w:tc>
        <w:tc>
          <w:tcPr>
            <w:tcW w:w="2080"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r>
      <w:tr>
        <w:trPr>
          <w:trHeight w:val="360" w:hRule="atLeast"/>
          <w:jc w:val="center"/>
        </w:trPr>
        <w:tc>
          <w:tcPr>
            <w:tcW w:w="189" w:type="pct"/>
            <w:noWrap w:val="0"/>
            <w:tcMar>
              <w:left w:w="57" w:type="dxa"/>
              <w:right w:w="57" w:type="dxa"/>
            </w:tcMar>
            <w:vAlign w:val="center"/>
          </w:tcPr>
          <w:p>
            <w:pPr>
              <w:widowControl/>
              <w:numPr>
                <w:ilvl w:val="0"/>
                <w:numId w:val="16"/>
              </w:numPr>
              <w:adjustRightInd w:val="0"/>
              <w:snapToGrid w:val="0"/>
              <w:jc w:val="center"/>
              <w:rPr>
                <w:rFonts w:ascii="微软雅黑" w:hAnsi="微软雅黑" w:eastAsia="微软雅黑" w:cs="仿宋_GB2312"/>
                <w:szCs w:val="21"/>
                <w:highlight w:val="none"/>
                <w:lang w:val="zh-CN"/>
              </w:rPr>
            </w:pPr>
          </w:p>
        </w:tc>
        <w:tc>
          <w:tcPr>
            <w:tcW w:w="1098"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r>
              <w:rPr>
                <w:rFonts w:hint="eastAsia" w:ascii="微软雅黑" w:hAnsi="微软雅黑" w:eastAsia="微软雅黑" w:cs="仿宋_GB2312"/>
                <w:szCs w:val="21"/>
                <w:highlight w:val="none"/>
                <w:lang w:val="zh-CN"/>
              </w:rPr>
              <w:t>合计</w:t>
            </w:r>
          </w:p>
        </w:tc>
        <w:tc>
          <w:tcPr>
            <w:tcW w:w="407"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c>
          <w:tcPr>
            <w:tcW w:w="486"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c>
          <w:tcPr>
            <w:tcW w:w="420" w:type="pct"/>
            <w:noWrap w:val="0"/>
            <w:tcMar>
              <w:left w:w="57" w:type="dxa"/>
              <w:right w:w="57" w:type="dxa"/>
            </w:tcMar>
            <w:vAlign w:val="center"/>
          </w:tcPr>
          <w:p>
            <w:pPr>
              <w:adjustRightInd w:val="0"/>
              <w:snapToGrid w:val="0"/>
              <w:rPr>
                <w:rFonts w:ascii="微软雅黑" w:hAnsi="微软雅黑" w:eastAsia="微软雅黑" w:cs="仿宋_GB2312"/>
                <w:szCs w:val="21"/>
                <w:highlight w:val="none"/>
                <w:lang w:val="zh-CN"/>
              </w:rPr>
            </w:pPr>
          </w:p>
        </w:tc>
        <w:tc>
          <w:tcPr>
            <w:tcW w:w="317" w:type="pct"/>
            <w:noWrap w:val="0"/>
            <w:tcMar>
              <w:left w:w="57" w:type="dxa"/>
              <w:right w:w="57" w:type="dxa"/>
            </w:tcMar>
            <w:vAlign w:val="center"/>
          </w:tcPr>
          <w:p>
            <w:pPr>
              <w:adjustRightInd w:val="0"/>
              <w:snapToGrid w:val="0"/>
              <w:jc w:val="center"/>
              <w:rPr>
                <w:rFonts w:ascii="微软雅黑" w:hAnsi="微软雅黑" w:eastAsia="微软雅黑" w:cs="仿宋_GB2312"/>
                <w:szCs w:val="21"/>
                <w:highlight w:val="none"/>
                <w:lang w:val="zh-CN"/>
              </w:rPr>
            </w:pPr>
          </w:p>
        </w:tc>
        <w:tc>
          <w:tcPr>
            <w:tcW w:w="2080" w:type="pct"/>
            <w:noWrap w:val="0"/>
            <w:tcMar>
              <w:left w:w="57" w:type="dxa"/>
              <w:right w:w="57" w:type="dxa"/>
            </w:tcMar>
            <w:vAlign w:val="top"/>
          </w:tcPr>
          <w:p>
            <w:pPr>
              <w:adjustRightInd w:val="0"/>
              <w:snapToGrid w:val="0"/>
              <w:rPr>
                <w:rFonts w:ascii="微软雅黑" w:hAnsi="微软雅黑" w:eastAsia="微软雅黑" w:cs="仿宋_GB2312"/>
                <w:szCs w:val="21"/>
                <w:highlight w:val="none"/>
                <w:lang w:val="zh-CN"/>
              </w:rPr>
            </w:pPr>
          </w:p>
        </w:tc>
      </w:tr>
    </w:tbl>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4"/>
          <w:szCs w:val="24"/>
          <w:highlight w:val="none"/>
          <w:lang w:val="zh-CN"/>
        </w:rPr>
      </w:pPr>
    </w:p>
    <w:bookmarkEnd w:id="13"/>
    <w:p>
      <w:pPr>
        <w:pageBreakBefore w:val="0"/>
        <w:widowControl w:val="0"/>
        <w:kinsoku/>
        <w:wordWrap/>
        <w:overflowPunct/>
        <w:topLinePunct w:val="0"/>
        <w:bidi w:val="0"/>
        <w:spacing w:line="360" w:lineRule="auto"/>
        <w:textAlignment w:val="auto"/>
        <w:outlineLvl w:val="1"/>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七、商务要求</w:t>
      </w:r>
    </w:p>
    <w:p>
      <w:pPr>
        <w:pStyle w:val="25"/>
        <w:pageBreakBefore w:val="0"/>
        <w:widowControl w:val="0"/>
        <w:numPr>
          <w:ilvl w:val="0"/>
          <w:numId w:val="18"/>
        </w:numPr>
        <w:kinsoku/>
        <w:wordWrap/>
        <w:overflowPunct/>
        <w:topLinePunct w:val="0"/>
        <w:autoSpaceDE/>
        <w:autoSpaceDN/>
        <w:bidi w:val="0"/>
        <w:adjustRightInd/>
        <w:spacing w:line="360" w:lineRule="auto"/>
        <w:ind w:firstLine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服务及备件供应要求：详见用户需求书。</w:t>
      </w:r>
    </w:p>
    <w:p>
      <w:pPr>
        <w:pStyle w:val="25"/>
        <w:pageBreakBefore w:val="0"/>
        <w:widowControl w:val="0"/>
        <w:numPr>
          <w:ilvl w:val="0"/>
          <w:numId w:val="18"/>
        </w:numPr>
        <w:kinsoku/>
        <w:wordWrap/>
        <w:overflowPunct/>
        <w:topLinePunct w:val="0"/>
        <w:autoSpaceDE/>
        <w:autoSpaceDN/>
        <w:bidi w:val="0"/>
        <w:adjustRightInd/>
        <w:spacing w:line="360" w:lineRule="auto"/>
        <w:ind w:firstLine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资信要求：响应人近年来资信良好，履约能力强，没有违法记录。</w:t>
      </w:r>
    </w:p>
    <w:p>
      <w:pPr>
        <w:pStyle w:val="25"/>
        <w:pageBreakBefore w:val="0"/>
        <w:widowControl w:val="0"/>
        <w:numPr>
          <w:ilvl w:val="0"/>
          <w:numId w:val="18"/>
        </w:numPr>
        <w:kinsoku/>
        <w:wordWrap/>
        <w:overflowPunct/>
        <w:topLinePunct w:val="0"/>
        <w:autoSpaceDE/>
        <w:autoSpaceDN/>
        <w:bidi w:val="0"/>
        <w:adjustRightInd/>
        <w:spacing w:line="360" w:lineRule="auto"/>
        <w:ind w:firstLine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报价要求：响应报价应为响应人完成本项目全部内容所需费用的含税价（包括但不限于人工、保险、伴随服务、拟投入工具及材料、各类税费、免费/优惠提供或未注明报价的内容以及采购合同包含的所有风险、责任等各项应有费用）。</w:t>
      </w:r>
    </w:p>
    <w:p>
      <w:pPr>
        <w:pStyle w:val="25"/>
        <w:pageBreakBefore w:val="0"/>
        <w:widowControl w:val="0"/>
        <w:numPr>
          <w:ilvl w:val="0"/>
          <w:numId w:val="18"/>
        </w:numPr>
        <w:kinsoku/>
        <w:wordWrap/>
        <w:overflowPunct/>
        <w:topLinePunct w:val="0"/>
        <w:autoSpaceDE/>
        <w:autoSpaceDN/>
        <w:bidi w:val="0"/>
        <w:adjustRightInd/>
        <w:spacing w:line="360" w:lineRule="auto"/>
        <w:ind w:firstLineChars="0"/>
        <w:textAlignment w:val="auto"/>
        <w:rPr>
          <w:rFonts w:hint="eastAsia" w:ascii="宋体" w:hAnsi="宋体" w:eastAsia="宋体" w:cs="宋体"/>
          <w:kern w:val="2"/>
          <w:sz w:val="24"/>
          <w:szCs w:val="24"/>
          <w:highlight w:val="none"/>
          <w:lang w:val="zh-CN"/>
        </w:rPr>
      </w:pPr>
      <w:r>
        <w:rPr>
          <w:rFonts w:hint="eastAsia" w:ascii="宋体" w:hAnsi="宋体" w:cs="宋体"/>
          <w:color w:val="000000"/>
          <w:sz w:val="20"/>
          <w:szCs w:val="20"/>
          <w:highlight w:val="none"/>
        </w:rPr>
        <w:t>★</w:t>
      </w:r>
      <w:r>
        <w:rPr>
          <w:rFonts w:hint="eastAsia" w:ascii="宋体" w:hAnsi="宋体" w:eastAsia="宋体" w:cs="宋体"/>
          <w:kern w:val="2"/>
          <w:sz w:val="24"/>
          <w:szCs w:val="24"/>
          <w:highlight w:val="none"/>
          <w:lang w:val="zh-CN"/>
        </w:rPr>
        <w:t>服务期</w:t>
      </w:r>
      <w:r>
        <w:rPr>
          <w:rFonts w:hint="eastAsia" w:ascii="宋体" w:hAnsi="宋体" w:eastAsia="宋体" w:cs="宋体"/>
          <w:b w:val="0"/>
          <w:bCs w:val="0"/>
          <w:sz w:val="24"/>
          <w:szCs w:val="24"/>
          <w:highlight w:val="none"/>
          <w:lang w:val="zh-CN"/>
        </w:rPr>
        <w:t>为自签订合同之日起至</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zh-CN"/>
        </w:rPr>
        <w:t>年</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zh-CN"/>
        </w:rPr>
        <w:t>月</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zh-CN"/>
        </w:rPr>
        <w:t>日。合同期间，若出现单方要求终止合约时，必须提前两个月向另一方书面提出, 另一方无异议后合同终止，保养费按终止日实际服务月数计算</w:t>
      </w:r>
      <w:r>
        <w:rPr>
          <w:rFonts w:hint="eastAsia" w:ascii="宋体" w:hAnsi="宋体" w:eastAsia="宋体" w:cs="宋体"/>
          <w:kern w:val="2"/>
          <w:sz w:val="24"/>
          <w:szCs w:val="24"/>
          <w:highlight w:val="none"/>
          <w:lang w:val="zh-CN"/>
        </w:rPr>
        <w:t>。</w:t>
      </w:r>
    </w:p>
    <w:p>
      <w:pPr>
        <w:pStyle w:val="25"/>
        <w:pageBreakBefore w:val="0"/>
        <w:widowControl w:val="0"/>
        <w:numPr>
          <w:ilvl w:val="0"/>
          <w:numId w:val="18"/>
        </w:numPr>
        <w:kinsoku/>
        <w:wordWrap/>
        <w:overflowPunct/>
        <w:topLinePunct w:val="0"/>
        <w:autoSpaceDE/>
        <w:autoSpaceDN/>
        <w:bidi w:val="0"/>
        <w:adjustRightInd/>
        <w:spacing w:line="360" w:lineRule="auto"/>
        <w:ind w:firstLineChars="0"/>
        <w:textAlignment w:val="auto"/>
        <w:rPr>
          <w:rFonts w:hint="eastAsia" w:ascii="宋体" w:hAnsi="宋体" w:eastAsia="宋体" w:cs="宋体"/>
          <w:kern w:val="2"/>
          <w:sz w:val="24"/>
          <w:szCs w:val="24"/>
          <w:highlight w:val="yellow"/>
          <w:lang w:val="zh-CN"/>
        </w:rPr>
      </w:pPr>
      <w:r>
        <w:rPr>
          <w:rFonts w:hint="eastAsia" w:ascii="宋体" w:hAnsi="宋体" w:cs="宋体"/>
          <w:color w:val="000000"/>
          <w:sz w:val="20"/>
          <w:szCs w:val="20"/>
          <w:highlight w:val="yellow"/>
        </w:rPr>
        <w:t>★</w:t>
      </w:r>
      <w:r>
        <w:rPr>
          <w:rFonts w:hint="eastAsia" w:ascii="宋体" w:hAnsi="宋体" w:eastAsia="宋体" w:cs="宋体"/>
          <w:kern w:val="2"/>
          <w:sz w:val="24"/>
          <w:szCs w:val="24"/>
          <w:highlight w:val="yellow"/>
          <w:lang w:val="zh-CN"/>
        </w:rPr>
        <w:t>付款方式：</w:t>
      </w:r>
    </w:p>
    <w:p>
      <w:pPr>
        <w:pStyle w:val="25"/>
        <w:pageBreakBefore w:val="0"/>
        <w:widowControl w:val="0"/>
        <w:numPr>
          <w:ilvl w:val="0"/>
          <w:numId w:val="19"/>
        </w:numPr>
        <w:kinsoku/>
        <w:wordWrap/>
        <w:overflowPunct/>
        <w:topLinePunct w:val="0"/>
        <w:autoSpaceDE/>
        <w:autoSpaceDN/>
        <w:bidi w:val="0"/>
        <w:adjustRightInd/>
        <w:spacing w:line="360" w:lineRule="auto"/>
        <w:ind w:leftChars="0"/>
        <w:textAlignment w:val="auto"/>
        <w:rPr>
          <w:rFonts w:hint="eastAsia" w:ascii="宋体" w:hAnsi="宋体" w:eastAsia="宋体" w:cs="宋体"/>
          <w:kern w:val="2"/>
          <w:sz w:val="24"/>
          <w:szCs w:val="24"/>
          <w:highlight w:val="yellow"/>
          <w:lang w:val="zh-CN"/>
        </w:rPr>
      </w:pPr>
      <w:r>
        <w:rPr>
          <w:rFonts w:hint="eastAsia" w:ascii="宋体" w:hAnsi="宋体" w:eastAsia="宋体" w:cs="宋体"/>
          <w:kern w:val="2"/>
          <w:sz w:val="24"/>
          <w:szCs w:val="24"/>
          <w:highlight w:val="yellow"/>
          <w:lang w:val="zh-CN"/>
        </w:rPr>
        <w:t>按先服务后付款方式。维保合同的款项分三次等额后支付，每3个月（下称每季度）支付合同金额的三分之一，采购人在收到成交人等额发票以及每季度小结报告后</w:t>
      </w:r>
      <w:r>
        <w:rPr>
          <w:rFonts w:hint="eastAsia" w:ascii="宋体" w:hAnsi="宋体" w:eastAsia="宋体" w:cs="宋体"/>
          <w:kern w:val="2"/>
          <w:sz w:val="24"/>
          <w:szCs w:val="24"/>
          <w:highlight w:val="yellow"/>
          <w:lang w:val="en-US" w:eastAsia="zh-CN"/>
        </w:rPr>
        <w:t>3</w:t>
      </w:r>
      <w:r>
        <w:rPr>
          <w:rFonts w:hint="eastAsia" w:ascii="宋体" w:hAnsi="宋体" w:eastAsia="宋体" w:cs="宋体"/>
          <w:kern w:val="2"/>
          <w:sz w:val="24"/>
          <w:szCs w:val="24"/>
          <w:highlight w:val="yellow"/>
          <w:lang w:val="zh-CN"/>
        </w:rPr>
        <w:t>0天内支付。成交人延迟开具发票的，采购人付款日顺延。</w:t>
      </w:r>
    </w:p>
    <w:p>
      <w:pPr>
        <w:pStyle w:val="25"/>
        <w:pageBreakBefore w:val="0"/>
        <w:widowControl w:val="0"/>
        <w:numPr>
          <w:ilvl w:val="0"/>
          <w:numId w:val="19"/>
        </w:numPr>
        <w:kinsoku/>
        <w:wordWrap/>
        <w:overflowPunct/>
        <w:topLinePunct w:val="0"/>
        <w:autoSpaceDE/>
        <w:autoSpaceDN/>
        <w:bidi w:val="0"/>
        <w:adjustRightInd/>
        <w:spacing w:line="360" w:lineRule="auto"/>
        <w:ind w:left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在每季度服务结束后10个工作日内，采购人对成交人的服务质量进行包括但不限于满意度调查等考核，考核分数在85分以上为及格（服务对象部门（临床、行政后勤部门）占60分，服务管理部门（</w:t>
      </w:r>
      <w:r>
        <w:rPr>
          <w:rFonts w:hint="eastAsia" w:ascii="宋体" w:hAnsi="宋体" w:cs="宋体"/>
          <w:kern w:val="2"/>
          <w:sz w:val="24"/>
          <w:szCs w:val="24"/>
          <w:highlight w:val="none"/>
          <w:lang w:val="zh-CN"/>
        </w:rPr>
        <w:t>信息与网络管理中心</w:t>
      </w:r>
      <w:r>
        <w:rPr>
          <w:rFonts w:hint="eastAsia" w:ascii="宋体" w:hAnsi="宋体" w:eastAsia="宋体" w:cs="宋体"/>
          <w:kern w:val="2"/>
          <w:sz w:val="24"/>
          <w:szCs w:val="24"/>
          <w:highlight w:val="none"/>
          <w:lang w:val="zh-CN"/>
        </w:rPr>
        <w:t>）占40分）。考核及格由采购人</w:t>
      </w:r>
      <w:r>
        <w:rPr>
          <w:rFonts w:hint="eastAsia" w:ascii="宋体" w:hAnsi="宋体" w:cs="宋体"/>
          <w:kern w:val="2"/>
          <w:sz w:val="24"/>
          <w:szCs w:val="24"/>
          <w:highlight w:val="none"/>
          <w:lang w:val="zh-CN"/>
        </w:rPr>
        <w:t>信息与网络管理中心</w:t>
      </w:r>
      <w:r>
        <w:rPr>
          <w:rFonts w:hint="eastAsia" w:ascii="宋体" w:hAnsi="宋体" w:eastAsia="宋体" w:cs="宋体"/>
          <w:kern w:val="2"/>
          <w:sz w:val="24"/>
          <w:szCs w:val="24"/>
          <w:highlight w:val="none"/>
          <w:lang w:val="zh-CN"/>
        </w:rPr>
        <w:t>出具证明。</w:t>
      </w:r>
    </w:p>
    <w:p>
      <w:pPr>
        <w:pStyle w:val="25"/>
        <w:pageBreakBefore w:val="0"/>
        <w:widowControl w:val="0"/>
        <w:numPr>
          <w:ilvl w:val="0"/>
          <w:numId w:val="19"/>
        </w:numPr>
        <w:kinsoku/>
        <w:wordWrap/>
        <w:overflowPunct/>
        <w:topLinePunct w:val="0"/>
        <w:autoSpaceDE/>
        <w:autoSpaceDN/>
        <w:bidi w:val="0"/>
        <w:adjustRightInd/>
        <w:spacing w:line="360" w:lineRule="auto"/>
        <w:ind w:left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对于不及格的季度考核，由成交人做出补救措施，直到考核及格才进行上述的付款流程。</w:t>
      </w:r>
    </w:p>
    <w:p>
      <w:pPr>
        <w:pStyle w:val="25"/>
        <w:pageBreakBefore w:val="0"/>
        <w:widowControl w:val="0"/>
        <w:numPr>
          <w:ilvl w:val="0"/>
          <w:numId w:val="19"/>
        </w:numPr>
        <w:kinsoku/>
        <w:wordWrap/>
        <w:overflowPunct/>
        <w:topLinePunct w:val="0"/>
        <w:autoSpaceDE/>
        <w:autoSpaceDN/>
        <w:bidi w:val="0"/>
        <w:adjustRightInd/>
        <w:spacing w:line="360" w:lineRule="auto"/>
        <w:ind w:left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成交人每季度付款前应向采购人提供一份纸质版加盖公章的季度小结报告作为支付条件，内容包括但不限于工作量总结、满意度总结、工作分析整改报告、驻场员工专业培训记录、考勤情况表等。</w:t>
      </w:r>
    </w:p>
    <w:p>
      <w:pPr>
        <w:pStyle w:val="25"/>
        <w:pageBreakBefore w:val="0"/>
        <w:widowControl w:val="0"/>
        <w:numPr>
          <w:ilvl w:val="0"/>
          <w:numId w:val="19"/>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zh-CN"/>
        </w:rPr>
        <w:t>协议期内，若成交人有依本协议约定须扣减服务费的违约行为的，采购人有权从应付服务费中扣减相应服务费用后再予支付。</w:t>
      </w:r>
    </w:p>
    <w:p>
      <w:pPr>
        <w:pStyle w:val="25"/>
        <w:pageBreakBefore w:val="0"/>
        <w:widowControl w:val="0"/>
        <w:numPr>
          <w:ilvl w:val="0"/>
          <w:numId w:val="19"/>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因财政国库资金支付程序不同于上述支付方式的，按最终用户与成交人协商后的实际支付方式为准。</w:t>
      </w:r>
    </w:p>
    <w:p>
      <w:pPr>
        <w:pStyle w:val="25"/>
        <w:pageBreakBefore w:val="0"/>
        <w:widowControl w:val="0"/>
        <w:numPr>
          <w:ilvl w:val="0"/>
          <w:numId w:val="18"/>
        </w:numPr>
        <w:kinsoku/>
        <w:wordWrap/>
        <w:overflowPunct/>
        <w:topLinePunct w:val="0"/>
        <w:bidi w:val="0"/>
        <w:spacing w:line="360" w:lineRule="auto"/>
        <w:ind w:firstLineChars="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同意采购方以任何形式对我方响应文件内容及采购方认为有必要的相关资料的真实性和有效性进行审查、验证。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注：除另有说明外，上述条款有要求证明材料的，提供复印件即可；响应人提供虚假材料谋取中标、成交的，属于违法行为，将报监管部门依法处理。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“甲方”“采购人”“医院”“用户”等是指：中山大学孙逸仙纪念医院</w:t>
      </w:r>
    </w:p>
    <w:p>
      <w:pPr>
        <w:pStyle w:val="2"/>
        <w:pageBreakBefore w:val="0"/>
        <w:widowControl w:val="0"/>
        <w:kinsoku/>
        <w:wordWrap/>
        <w:overflowPunct/>
        <w:topLinePunct w:val="0"/>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zh-CN"/>
        </w:rPr>
        <w:t>“乙方”“供应商”是指：响应人/成交人</w:t>
      </w:r>
    </w:p>
    <w:p>
      <w:pPr>
        <w:pStyle w:val="2"/>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pPr>
        <w:pStyle w:val="2"/>
        <w:ind w:firstLine="0" w:firstLineChars="0"/>
        <w:rPr>
          <w:rFonts w:ascii="微软雅黑" w:hAnsi="微软雅黑" w:eastAsia="微软雅黑" w:cs="微软雅黑"/>
          <w:color w:val="00000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FA59E"/>
    <w:multiLevelType w:val="singleLevel"/>
    <w:tmpl w:val="8D7FA59E"/>
    <w:lvl w:ilvl="0" w:tentative="0">
      <w:start w:val="1"/>
      <w:numFmt w:val="decimalEnclosedCircleChinese"/>
      <w:suff w:val="nothing"/>
      <w:lvlText w:val="%1　"/>
      <w:lvlJc w:val="left"/>
      <w:pPr>
        <w:ind w:left="0" w:firstLine="400"/>
      </w:pPr>
      <w:rPr>
        <w:rFonts w:hint="eastAsia"/>
      </w:rPr>
    </w:lvl>
  </w:abstractNum>
  <w:abstractNum w:abstractNumId="1">
    <w:nsid w:val="9FA348F3"/>
    <w:multiLevelType w:val="singleLevel"/>
    <w:tmpl w:val="9FA348F3"/>
    <w:lvl w:ilvl="0" w:tentative="0">
      <w:start w:val="1"/>
      <w:numFmt w:val="decimal"/>
      <w:suff w:val="nothing"/>
      <w:lvlText w:val="（%1）"/>
      <w:lvlJc w:val="left"/>
    </w:lvl>
  </w:abstractNum>
  <w:abstractNum w:abstractNumId="2">
    <w:nsid w:val="B1EC149B"/>
    <w:multiLevelType w:val="singleLevel"/>
    <w:tmpl w:val="B1EC149B"/>
    <w:lvl w:ilvl="0" w:tentative="0">
      <w:start w:val="1"/>
      <w:numFmt w:val="decimalEnclosedCircleChinese"/>
      <w:suff w:val="nothing"/>
      <w:lvlText w:val="%1　"/>
      <w:lvlJc w:val="left"/>
      <w:pPr>
        <w:ind w:left="0" w:firstLine="400"/>
      </w:pPr>
      <w:rPr>
        <w:rFonts w:hint="eastAsia"/>
      </w:rPr>
    </w:lvl>
  </w:abstractNum>
  <w:abstractNum w:abstractNumId="3">
    <w:nsid w:val="B3A147DC"/>
    <w:multiLevelType w:val="singleLevel"/>
    <w:tmpl w:val="B3A147DC"/>
    <w:lvl w:ilvl="0" w:tentative="0">
      <w:start w:val="1"/>
      <w:numFmt w:val="decimal"/>
      <w:lvlText w:val="%1."/>
      <w:lvlJc w:val="left"/>
      <w:pPr>
        <w:tabs>
          <w:tab w:val="left" w:pos="312"/>
        </w:tabs>
      </w:pPr>
    </w:lvl>
  </w:abstractNum>
  <w:abstractNum w:abstractNumId="4">
    <w:nsid w:val="C6D16010"/>
    <w:multiLevelType w:val="singleLevel"/>
    <w:tmpl w:val="C6D16010"/>
    <w:lvl w:ilvl="0" w:tentative="0">
      <w:start w:val="1"/>
      <w:numFmt w:val="decimal"/>
      <w:lvlText w:val="(%1)"/>
      <w:lvlJc w:val="left"/>
      <w:pPr>
        <w:ind w:left="425" w:hanging="425"/>
      </w:pPr>
      <w:rPr>
        <w:rFonts w:hint="default"/>
      </w:rPr>
    </w:lvl>
  </w:abstractNum>
  <w:abstractNum w:abstractNumId="5">
    <w:nsid w:val="D0615B2E"/>
    <w:multiLevelType w:val="singleLevel"/>
    <w:tmpl w:val="D0615B2E"/>
    <w:lvl w:ilvl="0" w:tentative="0">
      <w:start w:val="1"/>
      <w:numFmt w:val="decimal"/>
      <w:lvlText w:val="(%1)"/>
      <w:lvlJc w:val="left"/>
      <w:pPr>
        <w:ind w:left="425" w:hanging="425"/>
      </w:pPr>
      <w:rPr>
        <w:rFonts w:hint="default"/>
      </w:rPr>
    </w:lvl>
  </w:abstractNum>
  <w:abstractNum w:abstractNumId="6">
    <w:nsid w:val="E68B98B9"/>
    <w:multiLevelType w:val="multilevel"/>
    <w:tmpl w:val="E68B98B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EA3481C4"/>
    <w:multiLevelType w:val="singleLevel"/>
    <w:tmpl w:val="EA3481C4"/>
    <w:lvl w:ilvl="0" w:tentative="0">
      <w:start w:val="1"/>
      <w:numFmt w:val="decimalEnclosedCircleChinese"/>
      <w:suff w:val="nothing"/>
      <w:lvlText w:val="%1　"/>
      <w:lvlJc w:val="left"/>
      <w:pPr>
        <w:ind w:left="0" w:firstLine="400"/>
      </w:pPr>
      <w:rPr>
        <w:rFonts w:hint="eastAsia"/>
        <w:sz w:val="20"/>
        <w:szCs w:val="20"/>
      </w:rPr>
    </w:lvl>
  </w:abstractNum>
  <w:abstractNum w:abstractNumId="8">
    <w:nsid w:val="F8ECB60E"/>
    <w:multiLevelType w:val="singleLevel"/>
    <w:tmpl w:val="F8ECB60E"/>
    <w:lvl w:ilvl="0" w:tentative="0">
      <w:start w:val="1"/>
      <w:numFmt w:val="decimalEnclosedCircleChinese"/>
      <w:suff w:val="nothing"/>
      <w:lvlText w:val="%1　"/>
      <w:lvlJc w:val="left"/>
      <w:pPr>
        <w:ind w:left="0" w:firstLine="400"/>
      </w:pPr>
      <w:rPr>
        <w:rFonts w:hint="eastAsia"/>
      </w:rPr>
    </w:lvl>
  </w:abstractNum>
  <w:abstractNum w:abstractNumId="9">
    <w:nsid w:val="02B46BC2"/>
    <w:multiLevelType w:val="multilevel"/>
    <w:tmpl w:val="02B46B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41AFBF5"/>
    <w:multiLevelType w:val="singleLevel"/>
    <w:tmpl w:val="041AFBF5"/>
    <w:lvl w:ilvl="0" w:tentative="0">
      <w:start w:val="6"/>
      <w:numFmt w:val="chineseCounting"/>
      <w:suff w:val="nothing"/>
      <w:lvlText w:val="%1、"/>
      <w:lvlJc w:val="left"/>
      <w:pPr>
        <w:ind w:left="0" w:firstLine="0"/>
      </w:pPr>
      <w:rPr>
        <w:rFonts w:hint="eastAsia"/>
        <w:b/>
        <w:bCs/>
      </w:rPr>
    </w:lvl>
  </w:abstractNum>
  <w:abstractNum w:abstractNumId="11">
    <w:nsid w:val="297401A8"/>
    <w:multiLevelType w:val="multilevel"/>
    <w:tmpl w:val="297401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122F54"/>
    <w:multiLevelType w:val="multilevel"/>
    <w:tmpl w:val="2A122F5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37C42B64"/>
    <w:multiLevelType w:val="singleLevel"/>
    <w:tmpl w:val="37C42B64"/>
    <w:lvl w:ilvl="0" w:tentative="0">
      <w:start w:val="1"/>
      <w:numFmt w:val="chineseCounting"/>
      <w:suff w:val="nothing"/>
      <w:lvlText w:val="%1、"/>
      <w:lvlJc w:val="left"/>
      <w:rPr>
        <w:rFonts w:hint="eastAsia"/>
      </w:rPr>
    </w:lvl>
  </w:abstractNum>
  <w:abstractNum w:abstractNumId="14">
    <w:nsid w:val="3A093813"/>
    <w:multiLevelType w:val="multilevel"/>
    <w:tmpl w:val="3A09381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B73B44"/>
    <w:multiLevelType w:val="multilevel"/>
    <w:tmpl w:val="3AB73B4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36CAEA6"/>
    <w:multiLevelType w:val="singleLevel"/>
    <w:tmpl w:val="636CAEA6"/>
    <w:lvl w:ilvl="0" w:tentative="0">
      <w:start w:val="1"/>
      <w:numFmt w:val="decimal"/>
      <w:lvlText w:val="(%1)"/>
      <w:lvlJc w:val="left"/>
      <w:pPr>
        <w:ind w:left="425" w:hanging="425"/>
      </w:pPr>
      <w:rPr>
        <w:rFonts w:hint="default"/>
      </w:rPr>
    </w:lvl>
  </w:abstractNum>
  <w:abstractNum w:abstractNumId="17">
    <w:nsid w:val="795BBAD6"/>
    <w:multiLevelType w:val="singleLevel"/>
    <w:tmpl w:val="795BBAD6"/>
    <w:lvl w:ilvl="0" w:tentative="0">
      <w:start w:val="1"/>
      <w:numFmt w:val="decimal"/>
      <w:suff w:val="nothing"/>
      <w:lvlText w:val="%1、"/>
      <w:lvlJc w:val="left"/>
    </w:lvl>
  </w:abstractNum>
  <w:abstractNum w:abstractNumId="18">
    <w:nsid w:val="7A044BD3"/>
    <w:multiLevelType w:val="multilevel"/>
    <w:tmpl w:val="7A044BD3"/>
    <w:lvl w:ilvl="0" w:tentative="0">
      <w:start w:val="1"/>
      <w:numFmt w:val="decimal"/>
      <w:suff w:val="space"/>
      <w:lvlText w:val="第%1章"/>
      <w:lvlJc w:val="center"/>
      <w:pPr>
        <w:ind w:left="0" w:firstLine="0"/>
      </w:pPr>
      <w:rPr>
        <w:rFonts w:hint="eastAsia"/>
      </w:rPr>
    </w:lvl>
    <w:lvl w:ilvl="1" w:tentative="0">
      <w:start w:val="1"/>
      <w:numFmt w:val="decimal"/>
      <w:suff w:val="space"/>
      <w:lvlText w:val="%1.%2"/>
      <w:lvlJc w:val="left"/>
      <w:pPr>
        <w:ind w:left="0" w:firstLine="0"/>
      </w:pPr>
      <w:rPr>
        <w:rFonts w:hint="eastAsia"/>
        <w:b/>
        <w:sz w:val="32"/>
        <w:szCs w:val="32"/>
      </w:rPr>
    </w:lvl>
    <w:lvl w:ilvl="2" w:tentative="0">
      <w:start w:val="1"/>
      <w:numFmt w:val="decimal"/>
      <w:suff w:val="space"/>
      <w:lvlText w:val="%1.%2.%3"/>
      <w:lvlJc w:val="left"/>
      <w:pPr>
        <w:ind w:left="0" w:firstLine="0"/>
      </w:pPr>
      <w:rPr>
        <w:rFonts w:hint="default" w:ascii="Calibri Light" w:hAnsi="Calibri Light"/>
      </w:rPr>
    </w:lvl>
    <w:lvl w:ilvl="3" w:tentative="0">
      <w:start w:val="1"/>
      <w:numFmt w:val="decimal"/>
      <w:suff w:val="space"/>
      <w:lvlText w:val="%1.%2.%3.%4"/>
      <w:lvlJc w:val="left"/>
      <w:pPr>
        <w:ind w:left="0" w:firstLine="0"/>
      </w:pPr>
      <w:rPr>
        <w:rFonts w:hint="eastAsia"/>
      </w:rPr>
    </w:lvl>
    <w:lvl w:ilvl="4" w:tentative="0">
      <w:start w:val="1"/>
      <w:numFmt w:val="decimal"/>
      <w:pStyle w:val="8"/>
      <w:suff w:val="space"/>
      <w:lvlText w:val="%1.%2.%3.%4.%5"/>
      <w:lvlJc w:val="left"/>
      <w:pPr>
        <w:ind w:left="568" w:firstLine="0"/>
      </w:pPr>
      <w:rPr>
        <w:rFonts w:hint="default" w:ascii="Calibri Light" w:hAnsi="Calibri Light"/>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8"/>
  </w:num>
  <w:num w:numId="2">
    <w:abstractNumId w:val="13"/>
  </w:num>
  <w:num w:numId="3">
    <w:abstractNumId w:val="6"/>
  </w:num>
  <w:num w:numId="4">
    <w:abstractNumId w:val="0"/>
  </w:num>
  <w:num w:numId="5">
    <w:abstractNumId w:val="5"/>
  </w:num>
  <w:num w:numId="6">
    <w:abstractNumId w:val="15"/>
  </w:num>
  <w:num w:numId="7">
    <w:abstractNumId w:val="12"/>
  </w:num>
  <w:num w:numId="8">
    <w:abstractNumId w:val="7"/>
  </w:num>
  <w:num w:numId="9">
    <w:abstractNumId w:val="8"/>
  </w:num>
  <w:num w:numId="10">
    <w:abstractNumId w:val="16"/>
  </w:num>
  <w:num w:numId="11">
    <w:abstractNumId w:val="2"/>
  </w:num>
  <w:num w:numId="12">
    <w:abstractNumId w:val="17"/>
  </w:num>
  <w:num w:numId="13">
    <w:abstractNumId w:val="3"/>
  </w:num>
  <w:num w:numId="14">
    <w:abstractNumId w:val="10"/>
  </w:num>
  <w:num w:numId="15">
    <w:abstractNumId w:val="4"/>
  </w:num>
  <w:num w:numId="16">
    <w:abstractNumId w:val="14"/>
  </w:num>
  <w:num w:numId="17">
    <w:abstractNumId w:val="11"/>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OTg2ZWQ2MmMxMGI1YmM3M2M3NTkwN2RlMjU4OTYifQ=="/>
  </w:docVars>
  <w:rsids>
    <w:rsidRoot w:val="00000000"/>
    <w:rsid w:val="025F1850"/>
    <w:rsid w:val="0B02424A"/>
    <w:rsid w:val="0B656A2D"/>
    <w:rsid w:val="24C84D11"/>
    <w:rsid w:val="26BF06CE"/>
    <w:rsid w:val="2DB86F34"/>
    <w:rsid w:val="30DE7744"/>
    <w:rsid w:val="38D92F7F"/>
    <w:rsid w:val="40E077AE"/>
    <w:rsid w:val="4771057F"/>
    <w:rsid w:val="519E7677"/>
    <w:rsid w:val="51E15157"/>
    <w:rsid w:val="535D2F6E"/>
    <w:rsid w:val="55873E12"/>
    <w:rsid w:val="5DC14F5A"/>
    <w:rsid w:val="613C34D3"/>
    <w:rsid w:val="63526BF2"/>
    <w:rsid w:val="6BB131A8"/>
    <w:rsid w:val="6F7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unhideWhenUsed/>
    <w:qFormat/>
    <w:uiPriority w:val="0"/>
    <w:pPr>
      <w:keepNext/>
      <w:keepLines/>
      <w:numPr>
        <w:ilvl w:val="4"/>
        <w:numId w:val="1"/>
      </w:numPr>
      <w:jc w:val="left"/>
      <w:outlineLvl w:val="4"/>
    </w:pPr>
    <w:rPr>
      <w:b/>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sz w:val="20"/>
    </w:rPr>
  </w:style>
  <w:style w:type="paragraph" w:styleId="3">
    <w:name w:val="Body Text Indent 3"/>
    <w:basedOn w:val="1"/>
    <w:qFormat/>
    <w:uiPriority w:val="0"/>
    <w:pPr>
      <w:ind w:firstLine="420"/>
    </w:pPr>
    <w:rPr>
      <w:szCs w:val="20"/>
    </w:rPr>
  </w:style>
  <w:style w:type="paragraph" w:styleId="9">
    <w:name w:val="annotation text"/>
    <w:basedOn w:val="1"/>
    <w:unhideWhenUsed/>
    <w:qFormat/>
    <w:uiPriority w:val="99"/>
    <w:pPr>
      <w:jc w:val="left"/>
    </w:pPr>
  </w:style>
  <w:style w:type="paragraph" w:styleId="10">
    <w:name w:val="Body Text"/>
    <w:basedOn w:val="1"/>
    <w:next w:val="1"/>
    <w:qFormat/>
    <w:uiPriority w:val="0"/>
    <w:rPr>
      <w:sz w:val="24"/>
    </w:rPr>
  </w:style>
  <w:style w:type="paragraph" w:styleId="11">
    <w:name w:val="Body Text Indent"/>
    <w:basedOn w:val="1"/>
    <w:qFormat/>
    <w:uiPriority w:val="99"/>
    <w:pPr>
      <w:ind w:firstLine="830" w:firstLineChars="352"/>
    </w:pPr>
    <w:rPr>
      <w:rFonts w:ascii="仿宋_GB2312" w:hAnsi="Times New Roman" w:eastAsia="仿宋_GB2312"/>
      <w:sz w:val="32"/>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footnote text"/>
    <w:basedOn w:val="1"/>
    <w:qFormat/>
    <w:uiPriority w:val="0"/>
    <w:pPr>
      <w:snapToGrid w:val="0"/>
      <w:jc w:val="left"/>
    </w:pPr>
    <w:rPr>
      <w:rFonts w:eastAsia="宋体" w:cs="Times New Roman"/>
      <w:sz w:val="18"/>
      <w:szCs w:val="20"/>
    </w:rPr>
  </w:style>
  <w:style w:type="paragraph" w:styleId="16">
    <w:name w:val="Body Text First Indent 2"/>
    <w:basedOn w:val="11"/>
    <w:qFormat/>
    <w:uiPriority w:val="0"/>
    <w:pPr>
      <w:spacing w:after="120"/>
      <w:ind w:left="420" w:leftChars="200" w:firstLine="420" w:firstLineChars="200"/>
    </w:pPr>
    <w:rPr>
      <w:rFonts w:eastAsia="仿宋"/>
      <w:sz w:val="28"/>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ca-12"/>
    <w:qFormat/>
    <w:uiPriority w:val="0"/>
    <w:rPr>
      <w:rFonts w:eastAsia="宋体" w:cs="Times New Roman"/>
      <w:kern w:val="2"/>
      <w:sz w:val="24"/>
      <w:szCs w:val="24"/>
      <w:lang w:val="en-US" w:eastAsia="zh-CN" w:bidi="ar-SA"/>
    </w:rPr>
  </w:style>
  <w:style w:type="paragraph" w:styleId="22">
    <w:name w:val="No Spacing"/>
    <w:qFormat/>
    <w:uiPriority w:val="99"/>
    <w:rPr>
      <w:rFonts w:ascii="Times New Roman" w:hAnsi="Times New Roman" w:eastAsia="宋体" w:cs="Calibri"/>
      <w:sz w:val="22"/>
      <w:szCs w:val="22"/>
      <w:lang w:val="en-US" w:eastAsia="en-US" w:bidi="ar-SA"/>
    </w:rPr>
  </w:style>
  <w:style w:type="paragraph" w:customStyle="1" w:styleId="23">
    <w:name w:val="正文_0"/>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styleId="24">
    <w:name w:val="List Paragraph"/>
    <w:basedOn w:val="1"/>
    <w:qFormat/>
    <w:uiPriority w:val="34"/>
    <w:pPr>
      <w:widowControl/>
      <w:ind w:firstLine="420" w:firstLineChars="200"/>
      <w:jc w:val="left"/>
    </w:pPr>
    <w:rPr>
      <w:kern w:val="0"/>
      <w:sz w:val="20"/>
      <w:szCs w:val="20"/>
    </w:rPr>
  </w:style>
  <w:style w:type="paragraph" w:customStyle="1" w:styleId="25">
    <w:name w:val="彩色列表 - 强调文字颜色 11"/>
    <w:basedOn w:val="1"/>
    <w:qFormat/>
    <w:uiPriority w:val="99"/>
    <w:pPr>
      <w:autoSpaceDE w:val="0"/>
      <w:autoSpaceDN w:val="0"/>
      <w:adjustRightInd w:val="0"/>
      <w:ind w:firstLine="420" w:firstLineChars="200"/>
      <w:jc w:val="left"/>
    </w:pPr>
    <w:rPr>
      <w:rFonts w:ascii="Calibri" w:hAnsi="Calibri"/>
      <w:kern w:val="0"/>
      <w:sz w:val="24"/>
    </w:rPr>
  </w:style>
  <w:style w:type="paragraph" w:customStyle="1" w:styleId="26">
    <w:name w:val="sss"/>
    <w:basedOn w:val="1"/>
    <w:qFormat/>
    <w:uiPriority w:val="0"/>
    <w:pPr>
      <w:widowControl/>
      <w:adjustRightInd w:val="0"/>
      <w:snapToGrid w:val="0"/>
      <w:spacing w:after="200"/>
      <w:ind w:firstLine="480"/>
      <w:jc w:val="left"/>
    </w:pPr>
    <w:rPr>
      <w:rFonts w:ascii="Tahoma" w:hAnsi="Tahoma" w:eastAsia="仿宋_GB2312" w:cstheme="minorBidi"/>
      <w:kern w:val="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20328</Words>
  <Characters>21309</Characters>
  <Lines>0</Lines>
  <Paragraphs>0</Paragraphs>
  <TotalTime>0</TotalTime>
  <ScaleCrop>false</ScaleCrop>
  <LinksUpToDate>false</LinksUpToDate>
  <CharactersWithSpaces>21559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2023-05-06T02:16:00Z</dcterms:created>
  <dc:creator>Administrator</dc:creator>
  <cp:lastModifiedBy>Administrator</cp:lastModifiedBy>
  <cp:lastPrinted>2023-08-08T02:50:00Z</cp:lastPrinted>
  <dcterms:modified xsi:type="dcterms:W3CDTF">2024-02-19T01:48:13Z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D1ED4217B1D649E2A374EF017D02134E_13</vt:lpwstr>
  </property>
</Properties>
</file>