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highlight w:val="none"/>
          <w:lang w:val="en-US" w:eastAsia="zh-CN"/>
        </w:rPr>
        <w:t>20240003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中山大学孙逸仙纪念医院深汕中心医院车辆定点加油服务项目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b w:val="0"/>
          <w:bCs w:val="0"/>
          <w:kern w:val="2"/>
          <w:sz w:val="24"/>
          <w:szCs w:val="24"/>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bookmarkStart w:id="14" w:name="_GoBack"/>
      <w:bookmarkEnd w:id="14"/>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26 日</w:t>
      </w:r>
    </w:p>
    <w:p>
      <w:pPr>
        <w:pStyle w:val="38"/>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385940868"/>
      <w:bookmarkStart w:id="1" w:name="_Toc50737317"/>
      <w:bookmarkStart w:id="2" w:name="_Toc76354913"/>
      <w:bookmarkStart w:id="3" w:name="_Toc385939527"/>
      <w:bookmarkStart w:id="4" w:name="_Toc417914517"/>
      <w:bookmarkStart w:id="5" w:name="_Toc50736465"/>
      <w:bookmarkStart w:id="6" w:name="_Toc50737285"/>
      <w:bookmarkStart w:id="7" w:name="_Toc50691018"/>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中山大学孙逸仙纪念医院深汕中心医院（以下简称“我院”）依据我院的需求，现对我院车辆定点加油服务项目公开挂网采购，欢迎符合条件的供应商参加响应。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1.项目名称：中山大学孙逸仙纪念医院深汕中心医院车辆定点加油服务项目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highlight w:val="none"/>
          <w:lang w:val="en-US" w:eastAsia="zh-CN"/>
        </w:rPr>
        <w:t>20240003</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二、项目内容及需求</w:t>
      </w:r>
    </w:p>
    <w:tbl>
      <w:tblPr>
        <w:tblStyle w:val="29"/>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337"/>
        <w:gridCol w:w="2625"/>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服务内容</w:t>
            </w:r>
          </w:p>
        </w:tc>
        <w:tc>
          <w:tcPr>
            <w:tcW w:w="1337"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2625"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技术规格、参数及要求</w:t>
            </w:r>
          </w:p>
        </w:tc>
        <w:tc>
          <w:tcPr>
            <w:tcW w:w="2913"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项目预算金额（最高限价）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车辆定点加油服务</w:t>
            </w:r>
          </w:p>
        </w:tc>
        <w:tc>
          <w:tcPr>
            <w:tcW w:w="1337"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w:t>
            </w:r>
          </w:p>
        </w:tc>
        <w:tc>
          <w:tcPr>
            <w:tcW w:w="2625"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详见用户需求书</w:t>
            </w:r>
          </w:p>
        </w:tc>
        <w:tc>
          <w:tcPr>
            <w:tcW w:w="2913"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人民币28.8万元</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1.详细技术规范请参阅采购文件中的“用户需求书”。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2.项目时间：按采购人要求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3.项目实施地点：按采购人要求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8"/>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widowControl/>
        <w:suppressLineNumbers w:val="0"/>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u w:val="none"/>
          <w:lang w:val="en-US" w:eastAsia="zh-CN" w:bidi="ar-SA"/>
        </w:rPr>
        <w:t>4、</w:t>
      </w:r>
      <w:r>
        <w:rPr>
          <w:rFonts w:hint="eastAsia" w:ascii="仿宋" w:hAnsi="仿宋" w:eastAsia="仿宋" w:cs="仿宋"/>
          <w:sz w:val="24"/>
          <w:szCs w:val="24"/>
          <w:highlight w:val="none"/>
          <w:lang w:val="en-US" w:eastAsia="zh-CN"/>
        </w:rPr>
        <w:t>供应商须具备有效的《成品油批发经营批准证书》或《成品油零售经营批准证书》、《危险化学品经营许可证》。（提供有效期内的证书复印件并加盖供应商公章。）</w:t>
      </w:r>
    </w:p>
    <w:p>
      <w:pPr>
        <w:keepNext w:val="0"/>
        <w:keepLines w:val="0"/>
        <w:widowControl/>
        <w:suppressLineNumbers w:val="0"/>
        <w:ind w:firstLine="480" w:firstLineChars="20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 xml:space="preserve">5、 </w:t>
      </w: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车辆定点加油服务</w:t>
      </w:r>
      <w:r>
        <w:rPr>
          <w:rFonts w:hint="default" w:ascii="仿宋" w:hAnsi="仿宋" w:eastAsia="仿宋" w:cs="仿宋"/>
          <w:b/>
          <w:bCs/>
          <w:sz w:val="24"/>
          <w:szCs w:val="24"/>
          <w:highlight w:val="none"/>
          <w:u w:val="single"/>
          <w:lang w:val="en-US" w:eastAsia="zh-CN"/>
        </w:rPr>
        <w:t>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2、响应文件接收截止时间：2024年2月2日16时。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lang w:val="en-US"/>
        </w:rPr>
      </w:pPr>
      <w:r>
        <w:rPr>
          <w:rFonts w:hint="eastAsia" w:ascii="仿宋" w:hAnsi="仿宋" w:eastAsia="仿宋" w:cs="仿宋"/>
          <w:b w:val="0"/>
          <w:spacing w:val="0"/>
          <w:kern w:val="2"/>
          <w:sz w:val="24"/>
          <w:szCs w:val="24"/>
          <w:lang w:val="en-US" w:eastAsia="zh-CN" w:bidi="ar-SA"/>
        </w:rPr>
        <w:t>2024年1月26日</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40875"/>
      <w:bookmarkStart w:id="10" w:name="_Toc385939529"/>
      <w:bookmarkStart w:id="11" w:name="_Toc417914519"/>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10"/>
        <w:rPr>
          <w:rFonts w:hint="eastAsia" w:ascii="仿宋" w:hAnsi="仿宋" w:eastAsia="仿宋" w:cs="仿宋"/>
          <w:b/>
          <w:bCs/>
          <w:color w:val="000000"/>
          <w:kern w:val="0"/>
          <w:sz w:val="24"/>
          <w:szCs w:val="24"/>
          <w:highlight w:val="none"/>
          <w:lang w:val="en-US" w:eastAsia="zh-CN"/>
        </w:rPr>
      </w:pPr>
    </w:p>
    <w:p>
      <w:pPr>
        <w:pStyle w:val="10"/>
        <w:ind w:firstLine="482" w:firstLineChars="20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一、采购项目内容</w:t>
      </w:r>
    </w:p>
    <w:tbl>
      <w:tblPr>
        <w:tblStyle w:val="2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14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采购内容</w:t>
            </w:r>
          </w:p>
        </w:tc>
        <w:tc>
          <w:tcPr>
            <w:tcW w:w="1440"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3255"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中山大学孙逸仙纪念医院深汕中心医院车辆定点加油服务</w:t>
            </w:r>
          </w:p>
        </w:tc>
        <w:tc>
          <w:tcPr>
            <w:tcW w:w="1440"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w:t>
            </w:r>
          </w:p>
        </w:tc>
        <w:tc>
          <w:tcPr>
            <w:tcW w:w="3255"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人民币28.8万元</w:t>
            </w:r>
          </w:p>
        </w:tc>
      </w:tr>
    </w:tbl>
    <w:p>
      <w:pPr>
        <w:rPr>
          <w:rFonts w:hint="eastAsia"/>
          <w:lang w:val="en-US" w:eastAsia="zh-CN"/>
        </w:rPr>
      </w:pPr>
    </w:p>
    <w:p>
      <w:pPr>
        <w:keepNext w:val="0"/>
        <w:keepLines w:val="0"/>
        <w:pageBreakBefore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详细技术规范请参阅采购文件中的“用户需求书”。供应商必须对本项目的全部内容进行响应报价。如有缺漏或超出采购预算（最高限价），将导致响应无效。</w:t>
      </w:r>
    </w:p>
    <w:p>
      <w:pPr>
        <w:pStyle w:val="10"/>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二、服务范围：</w:t>
      </w:r>
      <w:r>
        <w:rPr>
          <w:rFonts w:hint="eastAsia" w:ascii="仿宋" w:hAnsi="仿宋" w:eastAsia="仿宋" w:cs="仿宋"/>
          <w:b w:val="0"/>
          <w:bCs w:val="0"/>
          <w:color w:val="000000"/>
          <w:kern w:val="0"/>
          <w:sz w:val="24"/>
          <w:szCs w:val="24"/>
          <w:highlight w:val="none"/>
          <w:lang w:val="en-US" w:eastAsia="zh-CN"/>
        </w:rPr>
        <w:t>中山大学孙逸仙纪念医院深汕中心医院所有公务车及救护车（合同期内如有新增的车辆，以采购人出具的车辆清单为准）</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三、提供的油品</w:t>
      </w:r>
    </w:p>
    <w:p>
      <w:pPr>
        <w:pStyle w:val="18"/>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1.国VI 0# 柴油：符合 GB 19147-2016《车用柴油》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2.国VI 92# 汽油：符合 GB 17930-2016《车用汽油》</w:t>
      </w:r>
    </w:p>
    <w:p>
      <w:pPr>
        <w:pStyle w:val="10"/>
        <w:keepNext w:val="0"/>
        <w:keepLines w:val="0"/>
        <w:pageBreakBefore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3.国VI 95# 汽油：符合 GB 17930-2016《车用汽油》</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四、油品质量及要求</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w:t>
      </w:r>
      <w:r>
        <w:rPr>
          <w:rFonts w:hint="eastAsia" w:ascii="仿宋" w:hAnsi="仿宋" w:eastAsia="仿宋" w:cs="仿宋"/>
          <w:kern w:val="2"/>
          <w:sz w:val="24"/>
          <w:szCs w:val="24"/>
          <w:vertAlign w:val="baseline"/>
          <w:lang w:val="zh-TW" w:eastAsia="zh-CN" w:bidi="ar-SA"/>
        </w:rPr>
        <w:t>供应商所提供的燃油油品质量必须达到国家相关标准及要求，</w:t>
      </w:r>
      <w:r>
        <w:rPr>
          <w:rFonts w:hint="eastAsia" w:ascii="仿宋" w:hAnsi="仿宋" w:eastAsia="仿宋" w:cs="仿宋"/>
          <w:kern w:val="2"/>
          <w:sz w:val="24"/>
          <w:szCs w:val="24"/>
          <w:vertAlign w:val="baseline"/>
          <w:lang w:val="en-US" w:eastAsia="zh-CN" w:bidi="ar-SA"/>
        </w:rPr>
        <w:t>保证</w:t>
      </w:r>
      <w:r>
        <w:rPr>
          <w:rFonts w:hint="eastAsia" w:ascii="仿宋" w:hAnsi="仿宋" w:eastAsia="仿宋" w:cs="仿宋"/>
          <w:kern w:val="2"/>
          <w:sz w:val="24"/>
          <w:szCs w:val="24"/>
          <w:vertAlign w:val="baseline"/>
          <w:lang w:val="zh-TW" w:eastAsia="zh-CN" w:bidi="ar-SA"/>
        </w:rPr>
        <w:t>油品来源</w:t>
      </w:r>
      <w:r>
        <w:rPr>
          <w:rFonts w:hint="eastAsia" w:ascii="仿宋" w:hAnsi="仿宋" w:eastAsia="仿宋" w:cs="仿宋"/>
          <w:kern w:val="2"/>
          <w:sz w:val="24"/>
          <w:szCs w:val="24"/>
          <w:vertAlign w:val="baseline"/>
          <w:lang w:val="en-US" w:eastAsia="zh-CN" w:bidi="ar-SA"/>
        </w:rPr>
        <w:t>渠道合法合规</w:t>
      </w:r>
      <w:r>
        <w:rPr>
          <w:rFonts w:hint="eastAsia" w:ascii="仿宋" w:hAnsi="仿宋" w:eastAsia="仿宋" w:cs="仿宋"/>
          <w:kern w:val="2"/>
          <w:sz w:val="24"/>
          <w:szCs w:val="24"/>
          <w:vertAlign w:val="baseline"/>
          <w:lang w:val="zh-TW" w:eastAsia="zh-CN" w:bidi="ar-SA"/>
        </w:rPr>
        <w:t>，严禁提供假冒伪劣、过期变质物资</w:t>
      </w:r>
      <w:r>
        <w:rPr>
          <w:rFonts w:hint="default" w:ascii="仿宋" w:hAnsi="仿宋" w:eastAsia="仿宋" w:cs="仿宋"/>
          <w:kern w:val="2"/>
          <w:sz w:val="24"/>
          <w:szCs w:val="24"/>
          <w:vertAlign w:val="baseline"/>
          <w:lang w:val="en-US" w:eastAsia="zh-CN" w:bidi="ar-SA"/>
        </w:rPr>
        <w:t>。</w:t>
      </w:r>
      <w:r>
        <w:rPr>
          <w:rFonts w:hint="eastAsia" w:ascii="仿宋" w:hAnsi="仿宋" w:eastAsia="仿宋" w:cs="仿宋"/>
          <w:kern w:val="2"/>
          <w:sz w:val="24"/>
          <w:szCs w:val="24"/>
          <w:vertAlign w:val="baseline"/>
          <w:lang w:val="zh-TW" w:eastAsia="zh-CN" w:bidi="ar-SA"/>
        </w:rPr>
        <w:t>如经第三方检测机构认定因油质问题致使</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车辆部件损坏的，除鉴定费用由供应商支付外，供应商还须无条件赔偿</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所受损失，同时</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有权单方终止采购合同。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2.采购人</w:t>
      </w:r>
      <w:r>
        <w:rPr>
          <w:rFonts w:hint="eastAsia" w:ascii="仿宋" w:hAnsi="仿宋" w:eastAsia="仿宋" w:cs="仿宋"/>
          <w:kern w:val="2"/>
          <w:sz w:val="24"/>
          <w:szCs w:val="24"/>
          <w:vertAlign w:val="baseline"/>
          <w:lang w:val="zh-TW" w:eastAsia="zh-CN" w:bidi="ar-SA"/>
        </w:rPr>
        <w:t>有权对供应商所供应油品不定期不限次抽检。若经相关部门鉴定确</w:t>
      </w:r>
      <w:r>
        <w:rPr>
          <w:rFonts w:hint="eastAsia" w:ascii="仿宋" w:hAnsi="仿宋" w:eastAsia="仿宋" w:cs="仿宋"/>
          <w:kern w:val="2"/>
          <w:sz w:val="24"/>
          <w:szCs w:val="24"/>
          <w:vertAlign w:val="baseline"/>
          <w:lang w:val="en-US" w:eastAsia="zh-CN" w:bidi="ar-SA"/>
        </w:rPr>
        <w:t>定</w:t>
      </w:r>
      <w:r>
        <w:rPr>
          <w:rFonts w:hint="eastAsia" w:ascii="仿宋" w:hAnsi="仿宋" w:eastAsia="仿宋" w:cs="仿宋"/>
          <w:kern w:val="2"/>
          <w:sz w:val="24"/>
          <w:szCs w:val="24"/>
          <w:vertAlign w:val="baseline"/>
          <w:lang w:val="zh-TW" w:eastAsia="zh-CN" w:bidi="ar-SA"/>
        </w:rPr>
        <w:t>存在问题时（以国家或者地方政府指定检测部门抽检油站油品检验结果为基准），鉴定费用由供应商支付，并由供应商承担责任，赔偿损失。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3.供应商须保证给采购人车辆足量加油。</w:t>
      </w:r>
      <w:r>
        <w:rPr>
          <w:rFonts w:hint="eastAsia" w:ascii="仿宋" w:hAnsi="仿宋" w:eastAsia="仿宋" w:cs="仿宋"/>
          <w:color w:val="000000"/>
          <w:sz w:val="24"/>
          <w:szCs w:val="24"/>
          <w:highlight w:val="none"/>
          <w:lang w:val="zh-TW"/>
        </w:rPr>
        <w:t>供应商加油设备必须通过质量技术监督局计量部门监测，保证加油机油量符合国家标准。</w:t>
      </w:r>
      <w:r>
        <w:rPr>
          <w:rFonts w:hint="eastAsia" w:ascii="仿宋" w:hAnsi="仿宋" w:eastAsia="仿宋" w:cs="仿宋"/>
          <w:color w:val="000000"/>
          <w:sz w:val="24"/>
          <w:szCs w:val="24"/>
          <w:highlight w:val="none"/>
          <w:lang w:val="en-US" w:eastAsia="zh-CN"/>
        </w:rPr>
        <w:t>如采购人对加油足量情况有疑问，采购人有权向市场监督部门反馈。如情况属实，采购人有权提前终止合同。</w:t>
      </w:r>
    </w:p>
    <w:p>
      <w:pPr>
        <w:pStyle w:val="1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五、服务要求</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w:t>
      </w:r>
      <w:r>
        <w:rPr>
          <w:rFonts w:hint="eastAsia" w:ascii="仿宋" w:hAnsi="仿宋" w:eastAsia="仿宋" w:cs="仿宋"/>
          <w:kern w:val="2"/>
          <w:sz w:val="24"/>
          <w:szCs w:val="24"/>
          <w:highlight w:val="none"/>
          <w:vertAlign w:val="baseline"/>
          <w:lang w:val="zh-TW" w:eastAsia="zh-CN" w:bidi="ar-SA"/>
        </w:rPr>
        <w:t>鉴于全域覆盖特殊性，需要</w:t>
      </w:r>
      <w:r>
        <w:rPr>
          <w:rFonts w:hint="eastAsia" w:ascii="仿宋" w:hAnsi="仿宋" w:eastAsia="仿宋" w:cs="仿宋"/>
          <w:kern w:val="2"/>
          <w:sz w:val="24"/>
          <w:szCs w:val="24"/>
          <w:highlight w:val="none"/>
          <w:vertAlign w:val="baseline"/>
          <w:lang w:val="en-US" w:eastAsia="zh-CN" w:bidi="ar-SA"/>
        </w:rPr>
        <w:t>供应商</w:t>
      </w:r>
      <w:r>
        <w:rPr>
          <w:rFonts w:hint="eastAsia" w:ascii="仿宋" w:hAnsi="仿宋" w:eastAsia="仿宋" w:cs="仿宋"/>
          <w:kern w:val="2"/>
          <w:sz w:val="24"/>
          <w:szCs w:val="24"/>
          <w:highlight w:val="none"/>
          <w:vertAlign w:val="baseline"/>
          <w:lang w:val="zh-TW" w:eastAsia="zh-CN" w:bidi="ar-SA"/>
        </w:rPr>
        <w:t>独立自营的加油站点具有高覆盖率以确保</w:t>
      </w:r>
      <w:r>
        <w:rPr>
          <w:rFonts w:hint="eastAsia" w:ascii="仿宋" w:hAnsi="仿宋" w:eastAsia="仿宋" w:cs="仿宋"/>
          <w:kern w:val="2"/>
          <w:sz w:val="24"/>
          <w:szCs w:val="24"/>
          <w:highlight w:val="none"/>
          <w:vertAlign w:val="baseline"/>
          <w:lang w:val="en-US" w:eastAsia="zh-CN" w:bidi="ar-SA"/>
        </w:rPr>
        <w:t>采购人车辆</w:t>
      </w:r>
      <w:r>
        <w:rPr>
          <w:rFonts w:hint="eastAsia" w:ascii="仿宋" w:hAnsi="仿宋" w:eastAsia="仿宋" w:cs="仿宋"/>
          <w:kern w:val="2"/>
          <w:sz w:val="24"/>
          <w:szCs w:val="24"/>
          <w:highlight w:val="none"/>
          <w:vertAlign w:val="baseline"/>
          <w:lang w:val="zh-TW" w:eastAsia="zh-CN" w:bidi="ar-SA"/>
        </w:rPr>
        <w:t>能在就近补给，加油网点覆盖率为重要指标。</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2.</w:t>
      </w:r>
      <w:r>
        <w:rPr>
          <w:rFonts w:hint="eastAsia" w:ascii="仿宋" w:hAnsi="仿宋" w:eastAsia="仿宋" w:cs="仿宋"/>
          <w:kern w:val="2"/>
          <w:sz w:val="24"/>
          <w:szCs w:val="24"/>
          <w:highlight w:val="none"/>
          <w:vertAlign w:val="baseline"/>
          <w:lang w:val="zh-TW" w:eastAsia="zh-CN" w:bidi="ar-SA"/>
        </w:rPr>
        <w:t>不论何种情况，每日24 小时内采购人车辆进入加油站加油，均能受到良好的加油服务。</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3.</w:t>
      </w:r>
      <w:r>
        <w:rPr>
          <w:rFonts w:hint="eastAsia" w:ascii="仿宋" w:hAnsi="仿宋" w:eastAsia="仿宋" w:cs="仿宋"/>
          <w:kern w:val="2"/>
          <w:sz w:val="24"/>
          <w:szCs w:val="24"/>
          <w:highlight w:val="none"/>
          <w:vertAlign w:val="baseline"/>
          <w:lang w:val="zh-TW" w:eastAsia="zh-CN" w:bidi="ar-SA"/>
        </w:rPr>
        <w:t>加油站距离医院车程位置不应超过</w:t>
      </w:r>
      <w:r>
        <w:rPr>
          <w:rFonts w:hint="eastAsia" w:ascii="仿宋" w:hAnsi="仿宋" w:eastAsia="仿宋" w:cs="仿宋"/>
          <w:kern w:val="2"/>
          <w:sz w:val="24"/>
          <w:szCs w:val="24"/>
          <w:highlight w:val="none"/>
          <w:vertAlign w:val="baseline"/>
          <w:lang w:val="en-US" w:eastAsia="zh-CN" w:bidi="ar-SA"/>
        </w:rPr>
        <w:t>15</w:t>
      </w:r>
      <w:r>
        <w:rPr>
          <w:rFonts w:hint="eastAsia" w:ascii="仿宋" w:hAnsi="仿宋" w:eastAsia="仿宋" w:cs="仿宋"/>
          <w:kern w:val="2"/>
          <w:sz w:val="24"/>
          <w:szCs w:val="24"/>
          <w:highlight w:val="none"/>
          <w:vertAlign w:val="baseline"/>
          <w:lang w:val="zh-TW" w:eastAsia="zh-CN" w:bidi="ar-SA"/>
        </w:rPr>
        <w:t>分钟。</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4.</w:t>
      </w:r>
      <w:r>
        <w:rPr>
          <w:rFonts w:hint="eastAsia" w:ascii="仿宋" w:hAnsi="仿宋" w:eastAsia="仿宋" w:cs="仿宋"/>
          <w:kern w:val="2"/>
          <w:sz w:val="24"/>
          <w:szCs w:val="24"/>
          <w:highlight w:val="none"/>
          <w:vertAlign w:val="baseline"/>
          <w:lang w:val="zh-TW" w:eastAsia="zh-CN" w:bidi="ar-SA"/>
        </w:rPr>
        <w:t>加油站要在</w:t>
      </w:r>
      <w:r>
        <w:rPr>
          <w:rFonts w:hint="eastAsia" w:ascii="仿宋" w:hAnsi="仿宋" w:eastAsia="仿宋" w:cs="仿宋"/>
          <w:kern w:val="2"/>
          <w:sz w:val="24"/>
          <w:szCs w:val="24"/>
          <w:highlight w:val="none"/>
          <w:vertAlign w:val="baseline"/>
          <w:lang w:val="en-US" w:eastAsia="zh-CN" w:bidi="ar-SA"/>
        </w:rPr>
        <w:t>广东省内</w:t>
      </w:r>
      <w:r>
        <w:rPr>
          <w:rFonts w:hint="eastAsia" w:ascii="仿宋" w:hAnsi="仿宋" w:eastAsia="仿宋" w:cs="仿宋"/>
          <w:kern w:val="2"/>
          <w:sz w:val="24"/>
          <w:szCs w:val="24"/>
          <w:highlight w:val="none"/>
          <w:vertAlign w:val="baseline"/>
          <w:lang w:val="zh-TW" w:eastAsia="zh-CN" w:bidi="ar-SA"/>
        </w:rPr>
        <w:t>常规高速公路及省道有连锁供应点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5.</w:t>
      </w:r>
      <w:r>
        <w:rPr>
          <w:rFonts w:hint="eastAsia" w:ascii="仿宋" w:hAnsi="仿宋" w:eastAsia="仿宋" w:cs="仿宋"/>
          <w:kern w:val="2"/>
          <w:sz w:val="24"/>
          <w:szCs w:val="24"/>
          <w:vertAlign w:val="baseline"/>
          <w:lang w:val="zh-TW" w:eastAsia="zh-CN" w:bidi="ar-SA"/>
        </w:rPr>
        <w:t>加油站要能为</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kern w:val="2"/>
          <w:sz w:val="24"/>
          <w:szCs w:val="24"/>
          <w:vertAlign w:val="baseline"/>
          <w:lang w:val="zh-TW" w:eastAsia="zh-CN" w:bidi="ar-SA"/>
        </w:rPr>
        <w:t>配发一张主卡及多张副卡，并做好加油登记。</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6.</w:t>
      </w:r>
      <w:r>
        <w:rPr>
          <w:rFonts w:hint="eastAsia" w:ascii="仿宋" w:hAnsi="仿宋" w:eastAsia="仿宋" w:cs="仿宋"/>
          <w:kern w:val="2"/>
          <w:sz w:val="24"/>
          <w:szCs w:val="24"/>
          <w:vertAlign w:val="baseline"/>
          <w:lang w:val="zh-TW" w:eastAsia="zh-CN" w:bidi="ar-SA"/>
        </w:rPr>
        <w:t>加油站要保证加油车辆均为采购人提供的车牌号码的车辆，</w:t>
      </w:r>
      <w:r>
        <w:rPr>
          <w:rFonts w:hint="eastAsia" w:ascii="仿宋" w:hAnsi="仿宋" w:eastAsia="仿宋" w:cs="仿宋"/>
          <w:kern w:val="2"/>
          <w:sz w:val="24"/>
          <w:szCs w:val="24"/>
          <w:vertAlign w:val="baseline"/>
          <w:lang w:val="en-US" w:eastAsia="zh-CN" w:bidi="ar-SA"/>
        </w:rPr>
        <w:t>如为非采购人提供的报备车牌加油，采购人不承担相应加油费用</w:t>
      </w:r>
      <w:r>
        <w:rPr>
          <w:rFonts w:hint="eastAsia" w:ascii="仿宋" w:hAnsi="仿宋" w:eastAsia="仿宋" w:cs="仿宋"/>
          <w:kern w:val="2"/>
          <w:sz w:val="24"/>
          <w:szCs w:val="24"/>
          <w:vertAlign w:val="baseline"/>
          <w:lang w:val="zh-TW" w:eastAsia="zh-CN" w:bidi="ar-SA"/>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r>
        <w:rPr>
          <w:rFonts w:hint="eastAsia" w:ascii="仿宋" w:hAnsi="仿宋" w:eastAsia="仿宋" w:cs="仿宋"/>
          <w:kern w:val="2"/>
          <w:sz w:val="24"/>
          <w:szCs w:val="24"/>
          <w:vertAlign w:val="baseline"/>
          <w:lang w:val="zh-TW" w:eastAsia="zh-CN" w:bidi="ar-SA"/>
        </w:rPr>
        <w:t>供应商</w:t>
      </w:r>
      <w:r>
        <w:rPr>
          <w:rFonts w:hint="eastAsia" w:ascii="仿宋" w:hAnsi="仿宋" w:eastAsia="仿宋" w:cs="仿宋"/>
          <w:color w:val="000000"/>
          <w:sz w:val="24"/>
          <w:szCs w:val="24"/>
          <w:highlight w:val="none"/>
          <w:lang w:val="en-US" w:eastAsia="zh-CN"/>
        </w:rPr>
        <w:t>按照采购人提供的车辆资料及要求办理加油卡</w:t>
      </w:r>
      <w:r>
        <w:rPr>
          <w:rFonts w:hint="eastAsia" w:ascii="仿宋" w:hAnsi="仿宋" w:eastAsia="仿宋" w:cs="仿宋"/>
          <w:color w:val="000000"/>
          <w:sz w:val="24"/>
          <w:szCs w:val="24"/>
          <w:highlight w:val="none"/>
          <w:lang w:val="zh-TW"/>
        </w:rPr>
        <w:t>，加油卡</w:t>
      </w:r>
      <w:r>
        <w:rPr>
          <w:rFonts w:hint="eastAsia" w:ascii="仿宋" w:hAnsi="仿宋" w:eastAsia="仿宋" w:cs="仿宋"/>
          <w:kern w:val="2"/>
          <w:sz w:val="24"/>
          <w:szCs w:val="24"/>
          <w:vertAlign w:val="baseline"/>
          <w:lang w:val="zh-TW" w:eastAsia="zh-CN" w:bidi="ar-SA"/>
        </w:rPr>
        <w:t>实行一主卡多副卡，一车一卡，签订合同之日起 10 个工作日内根据采购人提供的车牌号码办理加油卡，所有加油卡设置密码、限制油品、限车牌。</w:t>
      </w:r>
      <w:r>
        <w:rPr>
          <w:rFonts w:hint="eastAsia" w:ascii="仿宋" w:hAnsi="仿宋" w:eastAsia="仿宋" w:cs="仿宋"/>
          <w:color w:val="000000"/>
          <w:sz w:val="24"/>
          <w:szCs w:val="24"/>
          <w:highlight w:val="none"/>
          <w:lang w:val="en-US" w:eastAsia="zh-CN"/>
        </w:rPr>
        <w:t>供应商应</w:t>
      </w:r>
      <w:r>
        <w:rPr>
          <w:rFonts w:hint="eastAsia" w:ascii="仿宋" w:hAnsi="仿宋" w:eastAsia="仿宋" w:cs="仿宋"/>
          <w:color w:val="000000"/>
          <w:sz w:val="24"/>
          <w:szCs w:val="24"/>
          <w:highlight w:val="none"/>
          <w:lang w:val="zh-TW" w:eastAsia="zh-CN"/>
        </w:rPr>
        <w:t>配合</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TW" w:eastAsia="zh-CN"/>
        </w:rPr>
        <w:t>做好车辆加油监督管理</w:t>
      </w:r>
      <w:r>
        <w:rPr>
          <w:rFonts w:hint="eastAsia" w:ascii="仿宋" w:hAnsi="仿宋" w:eastAsia="仿宋" w:cs="仿宋"/>
          <w:color w:val="000000"/>
          <w:sz w:val="24"/>
          <w:szCs w:val="24"/>
          <w:highlight w:val="none"/>
          <w:lang w:val="zh-TW"/>
        </w:rPr>
        <w:t>。当</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TW"/>
        </w:rPr>
        <w:t>出现加油卡丢失或损坏时，</w:t>
      </w:r>
      <w:r>
        <w:rPr>
          <w:rFonts w:hint="eastAsia" w:ascii="仿宋" w:hAnsi="仿宋" w:eastAsia="仿宋" w:cs="仿宋"/>
          <w:color w:val="auto"/>
          <w:sz w:val="24"/>
          <w:szCs w:val="24"/>
          <w:highlight w:val="none"/>
          <w:lang w:val="zh-TW" w:eastAsia="zh-CN"/>
        </w:rPr>
        <w:t>供应商负责免费更换新的加油卡</w:t>
      </w:r>
      <w:r>
        <w:rPr>
          <w:rFonts w:hint="eastAsia" w:ascii="仿宋" w:hAnsi="仿宋" w:eastAsia="仿宋" w:cs="仿宋"/>
          <w:color w:val="auto"/>
          <w:sz w:val="24"/>
          <w:szCs w:val="24"/>
          <w:highlight w:val="none"/>
          <w:lang w:val="zh-TW"/>
        </w:rPr>
        <w:t>，</w:t>
      </w:r>
      <w:r>
        <w:rPr>
          <w:rFonts w:hint="eastAsia" w:ascii="仿宋" w:hAnsi="仿宋" w:eastAsia="仿宋" w:cs="仿宋"/>
          <w:color w:val="000000"/>
          <w:sz w:val="24"/>
          <w:szCs w:val="24"/>
          <w:highlight w:val="none"/>
          <w:lang w:val="zh-TW"/>
        </w:rPr>
        <w:t>并将丢失或损坏的加油卡剩余金额转入更换后的新卡。</w:t>
      </w:r>
      <w:r>
        <w:rPr>
          <w:rFonts w:hint="eastAsia" w:ascii="仿宋" w:hAnsi="仿宋" w:eastAsia="仿宋" w:cs="仿宋"/>
          <w:kern w:val="2"/>
          <w:sz w:val="24"/>
          <w:szCs w:val="24"/>
          <w:vertAlign w:val="baseline"/>
          <w:lang w:val="zh-TW" w:eastAsia="zh-CN" w:bidi="ar-SA"/>
        </w:rPr>
        <w:t>合同</w:t>
      </w:r>
      <w:r>
        <w:rPr>
          <w:rFonts w:hint="eastAsia" w:ascii="仿宋" w:hAnsi="仿宋" w:eastAsia="仿宋" w:cs="仿宋"/>
          <w:kern w:val="2"/>
          <w:sz w:val="24"/>
          <w:szCs w:val="24"/>
          <w:vertAlign w:val="baseline"/>
          <w:lang w:val="en-US" w:eastAsia="zh-CN" w:bidi="ar-SA"/>
        </w:rPr>
        <w:t>期内</w:t>
      </w:r>
      <w:r>
        <w:rPr>
          <w:rFonts w:hint="eastAsia" w:ascii="仿宋" w:hAnsi="仿宋" w:eastAsia="仿宋" w:cs="仿宋"/>
          <w:kern w:val="2"/>
          <w:sz w:val="24"/>
          <w:szCs w:val="24"/>
          <w:vertAlign w:val="baseline"/>
          <w:lang w:val="zh-TW" w:eastAsia="zh-CN" w:bidi="ar-SA"/>
        </w:rPr>
        <w:t>加油卡数量有新增需求的，供应商需无条件满足。</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8.</w:t>
      </w:r>
      <w:r>
        <w:rPr>
          <w:rFonts w:hint="eastAsia" w:ascii="仿宋" w:hAnsi="仿宋" w:eastAsia="仿宋" w:cs="仿宋"/>
          <w:kern w:val="2"/>
          <w:sz w:val="24"/>
          <w:szCs w:val="24"/>
          <w:vertAlign w:val="baseline"/>
          <w:lang w:val="zh-TW" w:eastAsia="zh-CN" w:bidi="ar-SA"/>
        </w:rPr>
        <w:t>按照采购人提供的车辆资料及要求办理供应商的加油 IC 卡，使用 IC 卡为采购人车辆加油。IC 卡按采购人资料要求设置限油品，限车牌，凭密码加油，认真做好对加油员的监督，保证一车一卡加油。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zh-TW" w:eastAsia="zh-CN" w:bidi="ar-SA"/>
        </w:rPr>
        <w:t>限车牌：受限制加油卡限定车牌号码，插卡后油机上将显示该卡所限制的车牌号码，由加油站员工确认，输入员工码后方可加油。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zh-TW" w:eastAsia="zh-CN" w:bidi="ar-SA"/>
        </w:rPr>
        <w:t>限油品：受限制加油卡仅可加注一种油品。</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9.</w:t>
      </w:r>
      <w:r>
        <w:rPr>
          <w:rFonts w:hint="eastAsia" w:ascii="仿宋" w:hAnsi="仿宋" w:eastAsia="仿宋" w:cs="仿宋"/>
          <w:kern w:val="2"/>
          <w:sz w:val="24"/>
          <w:szCs w:val="24"/>
          <w:vertAlign w:val="baseline"/>
          <w:lang w:val="zh-TW" w:eastAsia="zh-CN" w:bidi="ar-SA"/>
        </w:rPr>
        <w:t>供应商不因</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 xml:space="preserve">车辆的多少而采取不同的态度。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10.</w:t>
      </w:r>
      <w:r>
        <w:rPr>
          <w:rFonts w:hint="eastAsia" w:ascii="仿宋" w:hAnsi="仿宋" w:eastAsia="仿宋" w:cs="仿宋"/>
          <w:kern w:val="2"/>
          <w:sz w:val="24"/>
          <w:szCs w:val="24"/>
          <w:vertAlign w:val="baseline"/>
          <w:lang w:val="zh-TW" w:eastAsia="zh-CN" w:bidi="ar-SA"/>
        </w:rPr>
        <w:t>供应商提供的油品数量必须保证每天都能满足采购人的需求，特别是油品紧缺时也要力争保证采购人每天的正常需要（在同等条件下优先提供加油服务，确保采购人车辆及时正常运行)。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11.</w:t>
      </w:r>
      <w:r>
        <w:rPr>
          <w:rFonts w:hint="eastAsia" w:ascii="仿宋" w:hAnsi="仿宋" w:eastAsia="仿宋" w:cs="仿宋"/>
          <w:kern w:val="2"/>
          <w:sz w:val="24"/>
          <w:szCs w:val="24"/>
          <w:vertAlign w:val="baseline"/>
          <w:lang w:val="zh-TW" w:eastAsia="zh-CN" w:bidi="ar-SA"/>
        </w:rPr>
        <w:t>供应商</w:t>
      </w:r>
      <w:r>
        <w:rPr>
          <w:rFonts w:hint="eastAsia" w:ascii="仿宋" w:hAnsi="仿宋" w:eastAsia="仿宋" w:cs="仿宋"/>
          <w:kern w:val="2"/>
          <w:sz w:val="24"/>
          <w:szCs w:val="24"/>
          <w:vertAlign w:val="baseline"/>
          <w:lang w:val="en-US" w:eastAsia="zh-CN" w:bidi="ar-SA"/>
        </w:rPr>
        <w:t>未经采购人同意，</w:t>
      </w:r>
      <w:r>
        <w:rPr>
          <w:rFonts w:hint="eastAsia" w:ascii="仿宋" w:hAnsi="仿宋" w:eastAsia="仿宋" w:cs="仿宋"/>
          <w:kern w:val="2"/>
          <w:sz w:val="24"/>
          <w:szCs w:val="24"/>
          <w:vertAlign w:val="baseline"/>
          <w:lang w:val="zh-TW" w:eastAsia="zh-CN" w:bidi="ar-SA"/>
        </w:rPr>
        <w:t>不得将</w:t>
      </w:r>
      <w:r>
        <w:rPr>
          <w:rFonts w:hint="eastAsia" w:ascii="仿宋" w:hAnsi="仿宋" w:eastAsia="仿宋" w:cs="仿宋"/>
          <w:kern w:val="2"/>
          <w:sz w:val="24"/>
          <w:szCs w:val="24"/>
          <w:vertAlign w:val="baseline"/>
          <w:lang w:val="en-US" w:eastAsia="zh-CN" w:bidi="ar-SA"/>
        </w:rPr>
        <w:t>成交</w:t>
      </w:r>
      <w:r>
        <w:rPr>
          <w:rFonts w:hint="eastAsia" w:ascii="仿宋" w:hAnsi="仿宋" w:eastAsia="仿宋" w:cs="仿宋"/>
          <w:kern w:val="2"/>
          <w:sz w:val="24"/>
          <w:szCs w:val="24"/>
          <w:vertAlign w:val="baseline"/>
          <w:lang w:val="zh-TW" w:eastAsia="zh-CN" w:bidi="ar-SA"/>
        </w:rPr>
        <w:t>业务转让给他人或者单位，如发生转包或分包，采购人有权终止合同。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12.</w:t>
      </w:r>
      <w:r>
        <w:rPr>
          <w:rFonts w:hint="eastAsia" w:ascii="仿宋" w:hAnsi="仿宋" w:eastAsia="仿宋" w:cs="仿宋"/>
          <w:kern w:val="2"/>
          <w:sz w:val="24"/>
          <w:szCs w:val="24"/>
          <w:vertAlign w:val="baseline"/>
          <w:lang w:val="zh-TW" w:eastAsia="zh-CN" w:bidi="ar-SA"/>
        </w:rPr>
        <w:t xml:space="preserve">供应商要有完善的、方法合理的质量控制保障措施。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13.</w:t>
      </w:r>
      <w:r>
        <w:rPr>
          <w:rFonts w:hint="eastAsia" w:ascii="仿宋" w:hAnsi="仿宋" w:eastAsia="仿宋" w:cs="仿宋"/>
          <w:kern w:val="2"/>
          <w:sz w:val="24"/>
          <w:szCs w:val="24"/>
          <w:vertAlign w:val="baseline"/>
          <w:lang w:val="zh-TW" w:eastAsia="zh-CN" w:bidi="ar-SA"/>
        </w:rPr>
        <w:t xml:space="preserve">供应商具有定期或不定期向采购人提供车辆加油的相关电子台账及纸质台帐记录的能力（包括但不限于采购人每台车辆的加油明细记录及汇总记录）。并能够根据采购人的需要及时提供相关台帐记录。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14.</w:t>
      </w:r>
      <w:r>
        <w:rPr>
          <w:rFonts w:hint="eastAsia" w:ascii="仿宋" w:hAnsi="仿宋" w:eastAsia="仿宋" w:cs="仿宋"/>
          <w:kern w:val="2"/>
          <w:sz w:val="24"/>
          <w:szCs w:val="24"/>
          <w:vertAlign w:val="baseline"/>
          <w:lang w:val="zh-TW" w:eastAsia="zh-CN" w:bidi="ar-SA"/>
        </w:rPr>
        <w:t>合同结束，预付卡仍有剩余金额时允许继续使用或返还余额。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TW"/>
        </w:rPr>
        <w:t>建立加油人员、管理人员双层审核等相关管理制度</w:t>
      </w:r>
      <w:r>
        <w:rPr>
          <w:rFonts w:hint="eastAsia" w:ascii="仿宋" w:hAnsi="仿宋" w:eastAsia="仿宋" w:cs="仿宋"/>
          <w:color w:val="000000"/>
          <w:sz w:val="24"/>
          <w:szCs w:val="24"/>
          <w:highlight w:val="none"/>
          <w:lang w:val="zh-TW" w:eastAsia="zh-CN"/>
        </w:rPr>
        <w:t>。</w:t>
      </w:r>
      <w:r>
        <w:rPr>
          <w:rFonts w:hint="eastAsia" w:ascii="仿宋" w:hAnsi="仿宋" w:eastAsia="仿宋" w:cs="仿宋"/>
          <w:color w:val="000000"/>
          <w:sz w:val="24"/>
          <w:szCs w:val="24"/>
          <w:highlight w:val="none"/>
          <w:lang w:val="zh-TW"/>
        </w:rPr>
        <w:t>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pPr>
        <w:pStyle w:val="1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六、履约责任</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须提供符合国家标准的油品，保质保量供应采购人。油品资源紧张时，在采购人定点加油站没有脱销的情况下，供应商保证提供采购人正常所需之油品。供应商提供的油品质量不符合国家现行标准的，应赔偿采购人相应的损失；供应商提供的油品质量不符合国家现行标准或提供油品的数量不能满足采购人要求，采购人有权中止或解除合同并不负违约责任。</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应协助采购人加强加油卡的管理，确保采购人加油卡只能用于业务加油，不能用于其他消费。供应商加油操作人员加油前要严格核对采购人加油卡所限定的车牌号与加油车辆车牌号是否一致，如不一致的拒绝加油。对于加油卡限定的车号与车辆车号不一致时，供应商没有严格按照加油卡所限定的车牌号进行加油，经发现核实按实际发油数量进行双倍赔偿，同时供应商严肃处理该加油网点经办人和负责人，并将处理情况报送采购人备案。</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3.采购人使用加油IC卡进行定点加油，供应商向采购人提供的车辆用油,按照加油站当日挂牌零售价（单位：元/升）</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w:t>
      </w:r>
      <w:r>
        <w:rPr>
          <w:rFonts w:hint="default"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rPr>
        <w:t>下浮率）进行结算。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1.按照供应商加油站当日挂牌零售价（单位：元/升）</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下浮率）进行结算，最终结算金额以采购人实际使用数量计算。</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预付备用金。本合同签订时，采购人向成交供应商支付人民币肆万元作为预付备用金，每次加油直接在备用金抵扣并在次月补足约定金额。如采购人车辆和加油量的增减发生实际变化，双方可协商对额度作适当的调整。合同到期后，如双方无继续合作意愿，经核实如采购人无欠加油费，成交供应商不计利息退回采购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3.支付方式。成交供应商每月向采购人提供车辆明细加油清单。成交供应商于每月 5号前向采购人提交结算单申请支付费用，补足预付备用金数额。成交供应商根据双方确认金额开具发票，采购人在收到发票资料审核并在符合支付条件的5个工作日内以银行对公转账形式付款。如采购人逾期付款超过肆万元用油额度，成交供应商有权视情况暂停合同。</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七、报价要求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color w:val="000000"/>
          <w:kern w:val="2"/>
          <w:sz w:val="24"/>
          <w:szCs w:val="24"/>
          <w:highlight w:val="none"/>
          <w:lang w:val="en-US" w:eastAsia="zh-CN" w:bidi="ar-SA"/>
        </w:rPr>
        <w:t>1.供应商</w:t>
      </w:r>
      <w:r>
        <w:rPr>
          <w:rFonts w:hint="default" w:ascii="仿宋" w:hAnsi="仿宋" w:eastAsia="仿宋" w:cs="仿宋"/>
          <w:color w:val="000000"/>
          <w:kern w:val="2"/>
          <w:sz w:val="24"/>
          <w:szCs w:val="24"/>
          <w:highlight w:val="none"/>
          <w:lang w:val="en-US" w:eastAsia="zh-CN" w:bidi="ar-SA"/>
        </w:rPr>
        <w:t>需对本项目进行统一下浮率报价。</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 0 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按照供应商加油站当日挂牌零售价（单位：元/升）</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下浮率）进行结算，最终结算金额以采购人实际使用数量计算，该金额包含单位货物价款、运输费、保险费用、税费以及售后服务等一切费用，不得另收任何费用。 </w:t>
      </w:r>
      <w:r>
        <w:rPr>
          <w:rFonts w:hint="eastAsia" w:ascii="仿宋" w:hAnsi="仿宋" w:eastAsia="仿宋" w:cs="仿宋"/>
          <w:color w:val="000000"/>
          <w:kern w:val="2"/>
          <w:sz w:val="24"/>
          <w:szCs w:val="24"/>
          <w:highlight w:val="none"/>
          <w:lang w:val="zh-TW" w:eastAsia="zh-CN" w:bidi="ar-SA"/>
        </w:rPr>
        <w:t>（如遇国家价格调整，在价格调整基础上</w:t>
      </w:r>
      <w:r>
        <w:rPr>
          <w:rFonts w:hint="eastAsia" w:ascii="仿宋" w:hAnsi="仿宋" w:eastAsia="仿宋" w:cs="仿宋"/>
          <w:color w:val="000000"/>
          <w:kern w:val="2"/>
          <w:sz w:val="24"/>
          <w:szCs w:val="24"/>
          <w:highlight w:val="none"/>
          <w:lang w:val="en-US" w:eastAsia="zh-CN" w:bidi="ar-SA"/>
        </w:rPr>
        <w:t>下浮率</w:t>
      </w:r>
      <w:r>
        <w:rPr>
          <w:rFonts w:hint="eastAsia" w:ascii="仿宋" w:hAnsi="仿宋" w:eastAsia="仿宋" w:cs="仿宋"/>
          <w:color w:val="000000"/>
          <w:kern w:val="2"/>
          <w:sz w:val="24"/>
          <w:szCs w:val="24"/>
          <w:highlight w:val="none"/>
          <w:lang w:val="zh-TW" w:eastAsia="zh-CN" w:bidi="ar-SA"/>
        </w:rPr>
        <w:t>不变。）</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r>
        <w:rPr>
          <w:rFonts w:hint="default" w:ascii="仿宋" w:hAnsi="仿宋" w:eastAsia="仿宋" w:cs="仿宋"/>
          <w:color w:val="000000"/>
          <w:kern w:val="2"/>
          <w:sz w:val="24"/>
          <w:szCs w:val="24"/>
          <w:highlight w:val="none"/>
          <w:lang w:val="en-US" w:eastAsia="zh-CN" w:bidi="ar-SA"/>
        </w:rPr>
        <w:t>.供应商在调整油价之前，应将调整油价通知提供给</w:t>
      </w:r>
      <w:r>
        <w:rPr>
          <w:rFonts w:hint="eastAsia" w:ascii="仿宋" w:hAnsi="仿宋" w:eastAsia="仿宋" w:cs="仿宋"/>
          <w:color w:val="000000"/>
          <w:kern w:val="2"/>
          <w:sz w:val="24"/>
          <w:szCs w:val="24"/>
          <w:highlight w:val="none"/>
          <w:lang w:val="en-US" w:eastAsia="zh-CN" w:bidi="ar-SA"/>
        </w:rPr>
        <w:t>采购人</w:t>
      </w:r>
      <w:r>
        <w:rPr>
          <w:rFonts w:hint="default" w:ascii="仿宋" w:hAnsi="仿宋" w:eastAsia="仿宋" w:cs="仿宋"/>
          <w:color w:val="000000"/>
          <w:kern w:val="2"/>
          <w:sz w:val="24"/>
          <w:szCs w:val="24"/>
          <w:highlight w:val="none"/>
          <w:lang w:val="en-US" w:eastAsia="zh-CN" w:bidi="ar-SA"/>
        </w:rPr>
        <w:t>，调整后价格按政府批文日期执行。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color w:val="000000"/>
          <w:kern w:val="2"/>
          <w:sz w:val="24"/>
          <w:szCs w:val="24"/>
          <w:highlight w:val="none"/>
          <w:lang w:val="en-US" w:eastAsia="zh-CN" w:bidi="ar-SA"/>
        </w:rPr>
        <w:t>3.</w:t>
      </w:r>
      <w:r>
        <w:rPr>
          <w:rFonts w:hint="eastAsia" w:ascii="仿宋" w:hAnsi="仿宋" w:eastAsia="仿宋" w:cs="仿宋"/>
          <w:color w:val="000000"/>
          <w:kern w:val="2"/>
          <w:sz w:val="24"/>
          <w:szCs w:val="24"/>
          <w:highlight w:val="none"/>
          <w:lang w:val="zh-TW" w:eastAsia="zh-CN" w:bidi="ar-SA"/>
        </w:rPr>
        <w:t>供应商应充分了解项目区域的条件、情况以及影响报价的其他要素，结合市场情况进行报价。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内，成交人不得以任何的形式向采购人索要追加任何的费用。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中山大学孙逸仙纪念医院深汕中心医院车辆定点加油服务项目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4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8"/>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keepNext w:val="0"/>
              <w:keepLines w:val="0"/>
              <w:widowControl/>
              <w:suppressLineNumbers w:val="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lang w:val="en-US" w:eastAsia="zh-CN"/>
              </w:rPr>
              <w:t>供应商须具备有效的《成品油批发经营批准证书》或《成品油零售经营批准证书》、《危险化学品经营许可证》。（提供有效期内的证书复印件并加盖供应商公章。）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2"/>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2"/>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4"/>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8"/>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20</w:t>
      </w:r>
      <w:r>
        <w:rPr>
          <w:rFonts w:hint="eastAsia" w:ascii="仿宋" w:hAnsi="仿宋" w:eastAsia="仿宋" w:cs="仿宋"/>
          <w:b/>
          <w:kern w:val="1"/>
          <w:sz w:val="24"/>
        </w:rPr>
        <w:t>分）</w:t>
      </w:r>
    </w:p>
    <w:tbl>
      <w:tblPr>
        <w:tblStyle w:val="29"/>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9"/>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93" w:type="dxa"/>
          </w:tcPr>
          <w:p>
            <w:pPr>
              <w:pStyle w:val="9"/>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9"/>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34" w:type="dxa"/>
          </w:tcPr>
          <w:p>
            <w:pPr>
              <w:pStyle w:val="9"/>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tcPr>
          <w:p>
            <w:pPr>
              <w:pStyle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17"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2022年1月1日至今（以合同签订时间为准）完成同类业绩情况，每提交1份项目业绩材料得2分，最高得8分。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234" w:type="dxa"/>
          </w:tcPr>
          <w:p>
            <w:pPr>
              <w:pStyle w:val="9"/>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9"/>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供应商具有有效的质量管理体系认证、环境管理体系认证、职业健康安全管理体系认证证书。提供有效期内的证书复印件，每提供一个得2分，最高6分，不提供不得分。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r>
              <w:rPr>
                <w:rFonts w:hint="eastAsia" w:ascii="仿宋" w:hAnsi="仿宋" w:eastAsia="仿宋" w:cs="仿宋"/>
                <w:b w:val="0"/>
                <w:bCs w:val="0"/>
                <w:kern w:val="2"/>
                <w:sz w:val="24"/>
                <w:szCs w:val="24"/>
                <w:lang w:val="en-US" w:eastAsia="zh-CN" w:bidi="ar-SA"/>
              </w:rPr>
              <w:t>以上证书提供有效的证书复印件并加盖供应商公章，不清晰或未提供均不得分。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234"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加油网点数量</w:t>
            </w:r>
          </w:p>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w:t>
            </w:r>
            <w:r>
              <w:rPr>
                <w:rFonts w:hint="default" w:ascii="仿宋" w:hAnsi="仿宋" w:eastAsia="仿宋" w:cs="仿宋"/>
                <w:kern w:val="2"/>
                <w:sz w:val="24"/>
                <w:szCs w:val="24"/>
                <w:highlight w:val="none"/>
                <w:lang w:val="en-US" w:eastAsia="zh-CN" w:bidi="ar-SA"/>
              </w:rPr>
              <w:t xml:space="preserve"> </w:t>
            </w:r>
          </w:p>
          <w:p>
            <w:pPr>
              <w:pStyle w:val="9"/>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293" w:type="dxa"/>
          </w:tcPr>
          <w:p>
            <w:pPr>
              <w:pStyle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根据供应商提供的加油网点数量进行评审：</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以汕尾到广州为单位，加油网点覆盖数量≥10，得6分；5≤加油网点覆盖数量＜10，得3分；1≤加油网点覆盖数量＜5，得1分；其余不得分。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注：必须提供加油站点数量、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以及相关证明材料，不提供不得分。</w:t>
            </w:r>
          </w:p>
        </w:tc>
      </w:tr>
    </w:tbl>
    <w:p>
      <w:pPr>
        <w:rPr>
          <w:rFonts w:hint="eastAsia"/>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left="120" w:leftChars="0"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（3）技术评分：评审小组就各响应文件对技术评审内容的各项要求进行评分，评审的具体内容见《技术评审表》</w:t>
      </w:r>
    </w:p>
    <w:p>
      <w:pPr>
        <w:pStyle w:val="10"/>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50分</w:t>
      </w:r>
      <w:r>
        <w:rPr>
          <w:rFonts w:hint="eastAsia" w:ascii="仿宋" w:hAnsi="仿宋" w:eastAsia="仿宋" w:cs="仿宋"/>
          <w:b/>
          <w:bCs/>
          <w:sz w:val="24"/>
          <w:szCs w:val="24"/>
          <w:lang w:eastAsia="zh-CN"/>
        </w:rPr>
        <w:t>）</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61" w:type="dxa"/>
            <w:vAlign w:val="center"/>
          </w:tcPr>
          <w:p>
            <w:pPr>
              <w:keepNext w:val="0"/>
              <w:keepLines w:val="0"/>
              <w:widowControl/>
              <w:suppressLineNumbers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w:t>
            </w:r>
          </w:p>
          <w:p>
            <w:pPr>
              <w:pStyle w:val="10"/>
              <w:numPr>
                <w:ilvl w:val="0"/>
                <w:numId w:val="0"/>
              </w:numPr>
              <w:jc w:val="both"/>
              <w:rPr>
                <w:rFonts w:hint="eastAsia" w:ascii="仿宋" w:hAnsi="仿宋" w:eastAsia="仿宋" w:cs="仿宋"/>
                <w:kern w:val="2"/>
                <w:sz w:val="24"/>
                <w:szCs w:val="24"/>
                <w:highlight w:val="none"/>
                <w:lang w:val="en-US" w:eastAsia="zh-CN" w:bidi="ar-SA"/>
              </w:rPr>
            </w:pP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根据供应商提供的服务实施方案（包括但不限于包括加油服务的管理、对一车一卡进行加油卡绑定、核对车牌的操作过程、加油服务运作流程、加油人员设置，对账查询方式等）进行综合评审：</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服务实施方案内容完整全面完善、描述详细、清晰，满足采购需要，完全切合本项目实际，可行性强，合理性高，逻辑性高，得11分。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服务实施方案内容完整、描述详细、 清晰，满足采购需要，切合本项目实际，可行性较强，合理性较高，逻辑性较高，得8分。</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服务实施方案内容较完整、描述详细，基本满足采购需要，基本切合本项目实际，有一定的可行性、合理性及逻辑性，得4分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服务实施方案内容不完整、描述简单，基本满足采购需要，切合本项目实际程度低，可行性、合理性及逻辑性低，得1分。 </w:t>
            </w: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仿宋" w:hAnsi="仿宋" w:eastAsia="仿宋" w:cs="仿宋"/>
                <w:kern w:val="2"/>
                <w:sz w:val="24"/>
                <w:szCs w:val="24"/>
                <w:highlight w:val="none"/>
                <w:lang w:val="en-US" w:eastAsia="zh-CN" w:bidi="ar-SA"/>
              </w:rPr>
              <w:t>（5）不提供方案，不得分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trPr>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应急保供方案</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551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根据供应商提供的应急保供方案（包括但不限于针对本项目预测可能出现的问题，确保能在紧急情况下提供优先保障采购人车辆的加油需求所做的应急解决措施等）进行综合评审：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提供单据、相片等实例证明材料）。得11分。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方案内容完整、描述详细、清晰；所预测可能出现的问题贴合本项目加油服务特点，考虑全面；应 急解决措施切合本项目实际，可行性较强，合理性较高。得8分。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方案内容较完整、详细；所预测可能出现的问题基本符合本项目加油服务特点 ；应急解决措施基本符合本项目实际，有一定的可行性及合理性。得4分。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方案内容不完整；所预测可能出现的问题难以体现其符合本项目加油服务特点；应急解决措施切合本项目实际程度低，其可行性及合理性低，得1分。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（5）不提供方案，不得分。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质量控制保障方案</w:t>
            </w:r>
          </w:p>
        </w:tc>
        <w:tc>
          <w:tcPr>
            <w:tcW w:w="1267" w:type="dxa"/>
            <w:vAlign w:val="center"/>
          </w:tcPr>
          <w:p>
            <w:pPr>
              <w:pStyle w:val="10"/>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5517" w:type="dxa"/>
            <w:vAlign w:val="center"/>
          </w:tcPr>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根据供应商提供的质量控制保障方案（包括但不限于油品标准化情况，以及保证油品在生产，运输，存储等全过程质量的保障措施等）进行综合评审：</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（1）方案内容完整全面完善、描述详细、清晰，满足采购需要，完全切合本项目实际，可行性强，合理性高，逻辑性高，得10分。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（2）方案内容完整、描述详细、清晰，满足采购需要，切合本项目实际，可行性较强，合理性较高，逻辑性较高，得7分。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（3）方案内容较完整、描述详细，基本满足采购需要，基本切合本项目实际，有一定的可行性、合理性及逻辑性，得4分。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（4）方案内容不完整、描述简单，基本满足采购需要，切合本项目实际程度低，可行性、合理性及逻辑性低，得1分。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服务便利性</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5517" w:type="dxa"/>
            <w:vAlign w:val="center"/>
          </w:tcPr>
          <w:p>
            <w:pPr>
              <w:pStyle w:val="11"/>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根据供应商服务便利性进行评审：</w:t>
            </w:r>
          </w:p>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1.供应商在服务路段有自营油站点的得4分，非自营站点得2分。（注：提供营业执照复印件）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2.供应商在广东省内常规高速公路及省道有连锁供应点的，得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kern w:val="2"/>
                <w:sz w:val="24"/>
                <w:szCs w:val="24"/>
                <w:highlight w:val="none"/>
                <w:lang w:val="en-US" w:eastAsia="zh-CN" w:bidi="ar-SA"/>
              </w:rPr>
              <w:t>分，没有则不得分；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注：以上均需提供相关证明材料，不提供不得分。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加油扩展性服务</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注：提供承诺函并加盖供应商公章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专属服务</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供应商承诺为采购人职工私人车辆凭有效证件享受同样服务（包括价格优惠、售后服务等）。有得2分，其余不得分。</w:t>
            </w:r>
          </w:p>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注：提供承诺函并加盖供应商公章</w:t>
            </w:r>
          </w:p>
        </w:tc>
      </w:tr>
    </w:tbl>
    <w:p>
      <w:pPr>
        <w:pStyle w:val="10"/>
        <w:numPr>
          <w:ilvl w:val="0"/>
          <w:numId w:val="0"/>
        </w:numPr>
        <w:rPr>
          <w:rFonts w:hint="eastAsia" w:ascii="仿宋" w:hAnsi="仿宋" w:eastAsia="仿宋" w:cs="仿宋"/>
          <w:kern w:val="2"/>
          <w:sz w:val="24"/>
          <w:szCs w:val="24"/>
          <w:highlight w:val="none"/>
          <w:lang w:val="en-US" w:eastAsia="zh-CN" w:bidi="ar-SA"/>
        </w:rPr>
      </w:pP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highlight w:val="none"/>
          <w:lang w:val="en-US" w:eastAsia="zh-CN"/>
        </w:rPr>
        <w:t>本项目</w:t>
      </w:r>
      <w:r>
        <w:rPr>
          <w:rFonts w:hint="eastAsia" w:ascii="仿宋" w:hAnsi="仿宋" w:eastAsia="仿宋" w:cs="仿宋"/>
          <w:kern w:val="2"/>
          <w:sz w:val="24"/>
          <w:szCs w:val="24"/>
          <w:lang w:val="en-US" w:eastAsia="zh-CN" w:bidi="ar-SA"/>
        </w:rPr>
        <w:t>以</w:t>
      </w:r>
      <w:r>
        <w:rPr>
          <w:rFonts w:hint="eastAsia" w:ascii="仿宋" w:hAnsi="仿宋" w:eastAsia="仿宋" w:cs="仿宋"/>
          <w:kern w:val="2"/>
          <w:sz w:val="24"/>
          <w:szCs w:val="24"/>
          <w:u w:val="single"/>
          <w:lang w:val="en-US" w:eastAsia="zh-CN" w:bidi="ar-SA"/>
        </w:rPr>
        <w:t>响应下浮率</w:t>
      </w:r>
      <w:r>
        <w:rPr>
          <w:rFonts w:hint="eastAsia" w:ascii="仿宋" w:hAnsi="仿宋" w:eastAsia="仿宋" w:cs="仿宋"/>
          <w:kern w:val="2"/>
          <w:sz w:val="24"/>
          <w:szCs w:val="24"/>
          <w:lang w:val="en-US" w:eastAsia="zh-CN" w:bidi="ar-SA"/>
        </w:rPr>
        <w:t>作为价格评分的评审依据。满足采购文件要求且“（1-响应下浮率）”、</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最低值者为评分基准，价格得分=评分基准÷（1-响应下浮率）×30，保留两位小数。</w:t>
      </w:r>
    </w:p>
    <w:p>
      <w:pPr>
        <w:pStyle w:val="11"/>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采购人根据价格测算情况设定了本项目的采购预算，评审委员会认为响应人的报价明显低于其他通过符合性审查响应人的报价，有可能影响产品质量或者不能诚信履约的，将要求其在规定的时间内提供书面说明，必要时提交相关证明材料；响应人不能证明其报价合理性的，评审委员会将其作为无效响应处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pStyle w:val="10"/>
        <w:rPr>
          <w:rFonts w:hint="eastAsia" w:ascii="仿宋" w:hAnsi="仿宋" w:eastAsia="仿宋" w:cs="仿宋"/>
          <w:b/>
          <w:color w:val="000000"/>
          <w:sz w:val="44"/>
          <w:szCs w:val="44"/>
          <w:highlight w:val="none"/>
          <w:lang w:val="en-US" w:eastAsia="zh-CN"/>
        </w:rPr>
      </w:pPr>
    </w:p>
    <w:p>
      <w:pPr>
        <w:rPr>
          <w:rFonts w:hint="eastAsia" w:ascii="仿宋" w:hAnsi="仿宋" w:eastAsia="仿宋" w:cs="仿宋"/>
          <w:b/>
          <w:color w:val="000000"/>
          <w:sz w:val="44"/>
          <w:szCs w:val="44"/>
          <w:highlight w:val="none"/>
          <w:lang w:val="en-US" w:eastAsia="zh-CN"/>
        </w:rPr>
      </w:pPr>
    </w:p>
    <w:p>
      <w:pPr>
        <w:pStyle w:val="10"/>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车辆定点加油服务项目</w:t>
      </w:r>
    </w:p>
    <w:p>
      <w:pPr>
        <w:spacing w:beforeAutospacing="1"/>
        <w:jc w:val="center"/>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default" w:ascii="仿宋" w:hAnsi="仿宋" w:eastAsia="仿宋"/>
          <w:b/>
          <w:bCs/>
          <w:sz w:val="28"/>
          <w:szCs w:val="28"/>
          <w:lang w:val="en-US" w:eastAsia="zh-CN"/>
        </w:rPr>
      </w:pPr>
      <w:r>
        <w:rPr>
          <w:rFonts w:hint="eastAsia" w:ascii="仿宋" w:hAnsi="仿宋" w:eastAsia="仿宋" w:cs="Times New Roman"/>
          <w:b/>
          <w:bCs/>
          <w:sz w:val="28"/>
          <w:szCs w:val="28"/>
          <w:lang w:val="en-US" w:eastAsia="zh-CN"/>
        </w:rPr>
        <w:t>中山大学孙逸仙纪念医院深汕中心医院车辆定点加油服务项目合同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bCs/>
          <w:color w:val="000000"/>
          <w:sz w:val="24"/>
          <w:szCs w:val="24"/>
          <w:highlight w:val="none"/>
          <w:lang w:val="en-US" w:eastAsia="zh-CN"/>
        </w:rPr>
        <w:t>中山大学孙逸仙纪念医院深汕中心医院车辆定点加油服务项目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一、采购服务标的、数量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1.服务内容：中山大学孙逸仙纪念医院深汕中心医院车辆定点加油服务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2.服务期限：______</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lang w:val="en-US" w:eastAsia="zh-CN"/>
        </w:rPr>
      </w:pPr>
      <w:r>
        <w:rPr>
          <w:rFonts w:hint="eastAsia" w:ascii="仿宋" w:hAnsi="仿宋" w:eastAsia="仿宋" w:cs="Times New Roman"/>
          <w:sz w:val="24"/>
          <w:szCs w:val="24"/>
          <w:highlight w:val="none"/>
          <w:lang w:val="en-US" w:eastAsia="zh-CN"/>
        </w:rPr>
        <w:t>3.服务范围：</w:t>
      </w:r>
      <w:r>
        <w:rPr>
          <w:rFonts w:hint="eastAsia" w:ascii="仿宋" w:hAnsi="仿宋" w:eastAsia="仿宋" w:cs="仿宋"/>
          <w:b w:val="0"/>
          <w:bCs w:val="0"/>
          <w:color w:val="000000"/>
          <w:kern w:val="0"/>
          <w:sz w:val="24"/>
          <w:szCs w:val="24"/>
          <w:highlight w:val="none"/>
          <w:lang w:val="en-US" w:eastAsia="zh-CN"/>
        </w:rPr>
        <w:t>中山大学孙逸仙纪念医院深汕中心医院所有公务车及救护车（合同期内如有新增的车辆，以甲方出具的车辆清单为准）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二、合同金额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合同金额为（大写）：_________________元（¥_______________元）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三、提供的油品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1.国VI 0# 柴油：符合 GB 19147-2016《车用柴油》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2.国VI 92# 汽油：符合 GB 17930-2016《车用汽油》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3.国VI 95# 汽油：符合 GB 17930-2016《车用汽油》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四、油品质量及要求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1.乙方</w:t>
      </w:r>
      <w:r>
        <w:rPr>
          <w:rFonts w:hint="eastAsia" w:ascii="仿宋" w:hAnsi="仿宋" w:eastAsia="仿宋" w:cs="Times New Roman"/>
          <w:sz w:val="24"/>
          <w:szCs w:val="24"/>
          <w:lang w:val="zh-TW" w:eastAsia="zh-CN"/>
        </w:rPr>
        <w:t>所提供的燃油油品质量必须达到国家相关标准及要求，</w:t>
      </w:r>
      <w:r>
        <w:rPr>
          <w:rFonts w:hint="eastAsia" w:ascii="仿宋" w:hAnsi="仿宋" w:eastAsia="仿宋" w:cs="Times New Roman"/>
          <w:sz w:val="24"/>
          <w:szCs w:val="24"/>
          <w:lang w:val="en-US" w:eastAsia="zh-CN"/>
        </w:rPr>
        <w:t>保证</w:t>
      </w:r>
      <w:r>
        <w:rPr>
          <w:rFonts w:hint="eastAsia" w:ascii="仿宋" w:hAnsi="仿宋" w:eastAsia="仿宋" w:cs="Times New Roman"/>
          <w:sz w:val="24"/>
          <w:szCs w:val="24"/>
          <w:lang w:val="zh-TW" w:eastAsia="zh-CN"/>
        </w:rPr>
        <w:t>油品来源</w:t>
      </w:r>
      <w:r>
        <w:rPr>
          <w:rFonts w:hint="eastAsia" w:ascii="仿宋" w:hAnsi="仿宋" w:eastAsia="仿宋" w:cs="Times New Roman"/>
          <w:sz w:val="24"/>
          <w:szCs w:val="24"/>
          <w:lang w:val="en-US" w:eastAsia="zh-CN"/>
        </w:rPr>
        <w:t>渠道合法合规</w:t>
      </w:r>
      <w:r>
        <w:rPr>
          <w:rFonts w:hint="eastAsia" w:ascii="仿宋" w:hAnsi="仿宋" w:eastAsia="仿宋" w:cs="Times New Roman"/>
          <w:sz w:val="24"/>
          <w:szCs w:val="24"/>
          <w:lang w:val="zh-TW" w:eastAsia="zh-CN"/>
        </w:rPr>
        <w:t>，严禁提供假冒伪劣、过期变质物资</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zh-TW" w:eastAsia="zh-CN"/>
        </w:rPr>
        <w:t>如经第三方检测机构认定因油质问题致使</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车辆部件损坏的，除鉴定费用由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支付外，</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还须无条件赔偿</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所受损失，同时</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有权单方终止采购合同。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2.甲方</w:t>
      </w:r>
      <w:r>
        <w:rPr>
          <w:rFonts w:hint="eastAsia" w:ascii="仿宋" w:hAnsi="仿宋" w:eastAsia="仿宋" w:cs="Times New Roman"/>
          <w:sz w:val="24"/>
          <w:szCs w:val="24"/>
          <w:lang w:val="zh-TW" w:eastAsia="zh-CN"/>
        </w:rPr>
        <w:t>有权对</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所供应油品不定期不限次抽检。若经相关部门鉴定确</w:t>
      </w:r>
      <w:r>
        <w:rPr>
          <w:rFonts w:hint="eastAsia" w:ascii="仿宋" w:hAnsi="仿宋" w:eastAsia="仿宋" w:cs="Times New Roman"/>
          <w:sz w:val="24"/>
          <w:szCs w:val="24"/>
          <w:lang w:val="en-US" w:eastAsia="zh-CN"/>
        </w:rPr>
        <w:t>定</w:t>
      </w:r>
      <w:r>
        <w:rPr>
          <w:rFonts w:hint="eastAsia" w:ascii="仿宋" w:hAnsi="仿宋" w:eastAsia="仿宋" w:cs="Times New Roman"/>
          <w:sz w:val="24"/>
          <w:szCs w:val="24"/>
          <w:lang w:val="zh-TW" w:eastAsia="zh-CN"/>
        </w:rPr>
        <w:t>存在问题时（以国家或者地方政府指定检测部门抽检油站油品检验结果为基准），鉴定费用由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支付，并由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承担责任，赔偿损失。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3.乙方须保证给甲方车辆足量加油。乙方</w:t>
      </w:r>
      <w:r>
        <w:rPr>
          <w:rFonts w:hint="eastAsia" w:ascii="仿宋" w:hAnsi="仿宋" w:eastAsia="仿宋" w:cs="Times New Roman"/>
          <w:sz w:val="24"/>
          <w:szCs w:val="24"/>
          <w:lang w:val="zh-TW" w:eastAsia="zh-CN"/>
        </w:rPr>
        <w:t>加油设备必须通过质量技术监督局计量部门监测，保证加油机油量符合国家标准。</w:t>
      </w:r>
      <w:r>
        <w:rPr>
          <w:rFonts w:hint="eastAsia" w:ascii="仿宋" w:hAnsi="仿宋" w:eastAsia="仿宋" w:cs="Times New Roman"/>
          <w:sz w:val="24"/>
          <w:szCs w:val="24"/>
          <w:lang w:val="en-US" w:eastAsia="zh-CN"/>
        </w:rPr>
        <w:t>如甲方对加油足量情况有疑问，甲方有权向市场监督部门反馈。如情况属实，甲方有权提前终止合同。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val="zh-TW" w:eastAsia="zh-CN"/>
        </w:rPr>
        <w:t>鉴于全域覆盖特殊性，需要</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独立自营的加油站点具有高覆盖率以确保</w:t>
      </w:r>
      <w:r>
        <w:rPr>
          <w:rFonts w:hint="eastAsia" w:ascii="仿宋" w:hAnsi="仿宋" w:eastAsia="仿宋" w:cs="Times New Roman"/>
          <w:sz w:val="24"/>
          <w:szCs w:val="24"/>
          <w:lang w:val="en-US" w:eastAsia="zh-CN"/>
        </w:rPr>
        <w:t>甲方车辆</w:t>
      </w:r>
      <w:r>
        <w:rPr>
          <w:rFonts w:hint="eastAsia" w:ascii="仿宋" w:hAnsi="仿宋" w:eastAsia="仿宋" w:cs="Times New Roman"/>
          <w:sz w:val="24"/>
          <w:szCs w:val="24"/>
          <w:lang w:val="zh-TW" w:eastAsia="zh-CN"/>
        </w:rPr>
        <w:t>能在就近补给，加油网点覆盖率为重要指标。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val="zh-TW" w:eastAsia="zh-CN"/>
        </w:rPr>
        <w:t>不论何种情况，每日24 小时内</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车辆进入加油站加油，均能受到良好的加油服务。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val="zh-TW" w:eastAsia="zh-CN"/>
        </w:rPr>
        <w:t>加油站距离医院车程位置不应超过</w:t>
      </w:r>
      <w:r>
        <w:rPr>
          <w:rFonts w:hint="eastAsia" w:ascii="仿宋" w:hAnsi="仿宋" w:eastAsia="仿宋" w:cs="Times New Roman"/>
          <w:sz w:val="24"/>
          <w:szCs w:val="24"/>
          <w:lang w:val="en-US" w:eastAsia="zh-CN"/>
        </w:rPr>
        <w:t>15</w:t>
      </w:r>
      <w:r>
        <w:rPr>
          <w:rFonts w:hint="eastAsia" w:ascii="仿宋" w:hAnsi="仿宋" w:eastAsia="仿宋" w:cs="Times New Roman"/>
          <w:sz w:val="24"/>
          <w:szCs w:val="24"/>
          <w:lang w:val="zh-TW" w:eastAsia="zh-CN"/>
        </w:rPr>
        <w:t>分钟。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val="zh-TW" w:eastAsia="zh-CN"/>
        </w:rPr>
        <w:t>加油站要在</w:t>
      </w:r>
      <w:r>
        <w:rPr>
          <w:rFonts w:hint="eastAsia" w:ascii="仿宋" w:hAnsi="仿宋" w:eastAsia="仿宋" w:cs="Times New Roman"/>
          <w:sz w:val="24"/>
          <w:szCs w:val="24"/>
          <w:lang w:val="en-US" w:eastAsia="zh-CN"/>
        </w:rPr>
        <w:t>广东省内</w:t>
      </w:r>
      <w:r>
        <w:rPr>
          <w:rFonts w:hint="eastAsia" w:ascii="仿宋" w:hAnsi="仿宋" w:eastAsia="仿宋" w:cs="Times New Roman"/>
          <w:sz w:val="24"/>
          <w:szCs w:val="24"/>
          <w:lang w:val="zh-TW" w:eastAsia="zh-CN"/>
        </w:rPr>
        <w:t>常规高速公路及省道有连锁供应点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val="zh-TW" w:eastAsia="zh-CN"/>
        </w:rPr>
        <w:t>加油站要能为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配发一张主卡及多张副卡，并做好加油登记。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val="zh-TW" w:eastAsia="zh-CN"/>
        </w:rPr>
        <w:t>加油站要保证加油车辆均为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提供的车牌号码的车辆，</w:t>
      </w:r>
      <w:r>
        <w:rPr>
          <w:rFonts w:hint="eastAsia" w:ascii="仿宋" w:hAnsi="仿宋" w:eastAsia="仿宋" w:cs="Times New Roman"/>
          <w:sz w:val="24"/>
          <w:szCs w:val="24"/>
          <w:lang w:val="en-US" w:eastAsia="zh-CN"/>
        </w:rPr>
        <w:t>如为非甲方提供的报备车牌加油，甲方不承担相应加油费用</w:t>
      </w:r>
      <w:r>
        <w:rPr>
          <w:rFonts w:hint="eastAsia" w:ascii="仿宋" w:hAnsi="仿宋" w:eastAsia="仿宋" w:cs="Times New Roman"/>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7.乙方按照甲方提供的车辆资料及要求办理加油卡</w:t>
      </w:r>
      <w:r>
        <w:rPr>
          <w:rFonts w:hint="eastAsia" w:ascii="仿宋" w:hAnsi="仿宋" w:eastAsia="仿宋" w:cs="Times New Roman"/>
          <w:sz w:val="24"/>
          <w:szCs w:val="24"/>
          <w:lang w:val="zh-TW" w:eastAsia="zh-CN"/>
        </w:rPr>
        <w:t>，加油卡实行一主卡多副卡，一车一卡，签订合同之日起 10 个工作日内根据</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提供的车牌号码办理加油卡，所有加油卡设置密码、限制油品、限车牌。</w:t>
      </w:r>
      <w:r>
        <w:rPr>
          <w:rFonts w:hint="eastAsia" w:ascii="仿宋" w:hAnsi="仿宋" w:eastAsia="仿宋" w:cs="Times New Roman"/>
          <w:sz w:val="24"/>
          <w:szCs w:val="24"/>
          <w:lang w:val="en-US" w:eastAsia="zh-CN"/>
        </w:rPr>
        <w:t>乙方应</w:t>
      </w:r>
      <w:r>
        <w:rPr>
          <w:rFonts w:hint="eastAsia" w:ascii="仿宋" w:hAnsi="仿宋" w:eastAsia="仿宋" w:cs="Times New Roman"/>
          <w:sz w:val="24"/>
          <w:szCs w:val="24"/>
          <w:lang w:val="zh-TW" w:eastAsia="zh-CN"/>
        </w:rPr>
        <w:t>配合</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做好车辆加油监督管理。当</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出现加油卡丢失或损坏时，</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负责</w:t>
      </w:r>
      <w:r>
        <w:rPr>
          <w:rFonts w:hint="eastAsia" w:ascii="仿宋" w:hAnsi="仿宋" w:eastAsia="仿宋" w:cs="Times New Roman"/>
          <w:sz w:val="24"/>
          <w:szCs w:val="24"/>
          <w:lang w:val="en-US" w:eastAsia="zh-CN"/>
        </w:rPr>
        <w:t>免费</w:t>
      </w:r>
      <w:r>
        <w:rPr>
          <w:rFonts w:hint="eastAsia" w:ascii="仿宋" w:hAnsi="仿宋" w:eastAsia="仿宋" w:cs="Times New Roman"/>
          <w:sz w:val="24"/>
          <w:szCs w:val="24"/>
          <w:lang w:val="zh-TW" w:eastAsia="zh-CN"/>
        </w:rPr>
        <w:t>更换新的加油卡，并将丢失或损坏的加油卡剩余金额转入更换后的新卡。合同</w:t>
      </w:r>
      <w:r>
        <w:rPr>
          <w:rFonts w:hint="eastAsia" w:ascii="仿宋" w:hAnsi="仿宋" w:eastAsia="仿宋" w:cs="Times New Roman"/>
          <w:sz w:val="24"/>
          <w:szCs w:val="24"/>
          <w:lang w:val="en-US" w:eastAsia="zh-CN"/>
        </w:rPr>
        <w:t>期内</w:t>
      </w:r>
      <w:r>
        <w:rPr>
          <w:rFonts w:hint="eastAsia" w:ascii="仿宋" w:hAnsi="仿宋" w:eastAsia="仿宋" w:cs="Times New Roman"/>
          <w:sz w:val="24"/>
          <w:szCs w:val="24"/>
          <w:lang w:val="zh-TW" w:eastAsia="zh-CN"/>
        </w:rPr>
        <w:t>加油卡数量有新增需求的，</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需无条件满足。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8.</w:t>
      </w:r>
      <w:r>
        <w:rPr>
          <w:rFonts w:hint="eastAsia" w:ascii="仿宋" w:hAnsi="仿宋" w:eastAsia="仿宋" w:cs="Times New Roman"/>
          <w:sz w:val="24"/>
          <w:szCs w:val="24"/>
          <w:lang w:val="zh-TW" w:eastAsia="zh-CN"/>
        </w:rPr>
        <w:t>按照</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提供的车辆资料及要求办理供应商的加油 IC 卡，使用 IC 卡为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车辆加油。IC 卡按</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资料要求设置限油品，限车牌，凭密码加油，认真做好对加油员的监督，保证一车一卡加油。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zh-TW" w:eastAsia="zh-CN"/>
        </w:rPr>
        <w:t>限车牌：受限制加油卡限定车牌号码，插卡后油机上将显示该卡所限制的车牌号码，由加油站员工确认，输入员工码后方可加油。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zh-TW" w:eastAsia="zh-CN"/>
        </w:rPr>
        <w:t>限油品：受限制加油卡仅可加注一种油品。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9.乙方</w:t>
      </w:r>
      <w:r>
        <w:rPr>
          <w:rFonts w:hint="eastAsia" w:ascii="仿宋" w:hAnsi="仿宋" w:eastAsia="仿宋" w:cs="Times New Roman"/>
          <w:sz w:val="24"/>
          <w:szCs w:val="24"/>
          <w:lang w:val="zh-TW" w:eastAsia="zh-CN"/>
        </w:rPr>
        <w:t>不因</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 xml:space="preserve">车辆的多少而采取不同的态度。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10.乙方</w:t>
      </w:r>
      <w:r>
        <w:rPr>
          <w:rFonts w:hint="eastAsia" w:ascii="仿宋" w:hAnsi="仿宋" w:eastAsia="仿宋" w:cs="Times New Roman"/>
          <w:sz w:val="24"/>
          <w:szCs w:val="24"/>
          <w:lang w:val="zh-TW" w:eastAsia="zh-CN"/>
        </w:rPr>
        <w:t>提供的油品数量必须保证每天都能满足</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的需求，特别是油品紧缺时也要力争保证</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每天的正常需要（在同等条件下优先提供加油服务，确保</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车辆及时正常运行)。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11.乙方未经甲方同意，</w:t>
      </w:r>
      <w:r>
        <w:rPr>
          <w:rFonts w:hint="eastAsia" w:ascii="仿宋" w:hAnsi="仿宋" w:eastAsia="仿宋" w:cs="Times New Roman"/>
          <w:sz w:val="24"/>
          <w:szCs w:val="24"/>
          <w:lang w:val="zh-TW" w:eastAsia="zh-CN"/>
        </w:rPr>
        <w:t>不得将</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lang w:val="zh-TW" w:eastAsia="zh-CN"/>
        </w:rPr>
        <w:t>业务转让给他人或者单位，如发生转包或分包，</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12.乙方</w:t>
      </w:r>
      <w:r>
        <w:rPr>
          <w:rFonts w:hint="eastAsia" w:ascii="仿宋" w:hAnsi="仿宋" w:eastAsia="仿宋" w:cs="Times New Roman"/>
          <w:sz w:val="24"/>
          <w:szCs w:val="24"/>
          <w:lang w:val="zh-TW" w:eastAsia="zh-CN"/>
        </w:rPr>
        <w:t xml:space="preserve">要有完善的、方法合理的质量控制保障措施。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13.乙方</w:t>
      </w:r>
      <w:r>
        <w:rPr>
          <w:rFonts w:hint="eastAsia" w:ascii="仿宋" w:hAnsi="仿宋" w:eastAsia="仿宋" w:cs="Times New Roman"/>
          <w:sz w:val="24"/>
          <w:szCs w:val="24"/>
          <w:lang w:val="zh-TW" w:eastAsia="zh-CN"/>
        </w:rPr>
        <w:t>具有定期或不定期向</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提供车辆加油的相关电子台账及纸质台帐记录的能力（包括但不限于</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每台车辆的加油明细记录及汇总记录）。并能够根据</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 xml:space="preserve">的需要及时提供相关台帐记录。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14.</w:t>
      </w:r>
      <w:r>
        <w:rPr>
          <w:rFonts w:hint="eastAsia" w:ascii="仿宋" w:hAnsi="仿宋" w:eastAsia="仿宋" w:cs="Times New Roman"/>
          <w:sz w:val="24"/>
          <w:szCs w:val="24"/>
          <w:lang w:val="zh-TW" w:eastAsia="zh-CN"/>
        </w:rPr>
        <w:t>合同结束，预付卡仍有剩余金额时允许继续使用或返还余额。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15.</w:t>
      </w:r>
      <w:r>
        <w:rPr>
          <w:rFonts w:hint="eastAsia" w:ascii="仿宋" w:hAnsi="仿宋" w:eastAsia="仿宋" w:cs="Times New Roman"/>
          <w:sz w:val="24"/>
          <w:szCs w:val="24"/>
          <w:lang w:val="zh-TW" w:eastAsia="zh-CN"/>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有权责令其整改，对拒不整改或拖延整改的，</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将根据情况除有权决定单方解除合同，取消其采购定点单位资格外，供应商还应赔偿由此给采购人造成的损失。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16.乙方在工作过程中接触到甲方的任何资料（车辆号牌、书面或电子文档），负有为甲方保密的责任，未经甲方书面同意，乙方不得以任何形式向第三方提供或透露。属电子文档的应从电脑存储设备上永久清除。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六、履约责任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须提供符合国家标准的油品，保质保量供应甲方。油品资源紧张时，在甲方定点加油站没有脱销的情况下，乙方保证提供甲方正常所需之油品。乙方提供的油品质量不符合国家现行标准的，应赔偿甲方相应的损失；乙方提供的油品质量不符合国家现行标准或提供油品的数量不能满足甲方要求，甲方有权中止或解除合同并不负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乙方应协助甲方加强加油卡的管理，确保甲方加油卡只能用于业务加油，不能用于其他消费。乙方加油操作人员加油前要严格核对甲方加油卡所限定的车牌号与加油车辆车牌号是否一致，如不一致的拒绝加油。对于加油卡限定的车号与车辆车号不一致时，乙方没有严格按照加油卡所限定的车牌号进行加油，经发现核实按实际发油数量进行双倍赔偿，同时供应商严肃处理该加油网点经办人和负责人，并将处理情况报送甲方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3.甲方使用加油IC卡进行定点加油，乙方向甲方提供的车辆用油,按照加油站当日挂牌零售价（单位：元/升）</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1-</w:t>
      </w:r>
      <w:r>
        <w:rPr>
          <w:rFonts w:hint="eastAsia" w:ascii="仿宋" w:hAnsi="仿宋" w:eastAsia="仿宋" w:cs="Times New Roman"/>
          <w:sz w:val="24"/>
          <w:szCs w:val="24"/>
          <w:lang w:val="en-US" w:eastAsia="zh-CN"/>
        </w:rPr>
        <w:t>下浮率）进行结算。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七、付款方式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1.按照乙方加油站当日挂牌零售价（单位：元/升）</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1-</w:t>
      </w:r>
      <w:r>
        <w:rPr>
          <w:rFonts w:hint="eastAsia" w:ascii="仿宋" w:hAnsi="仿宋" w:eastAsia="仿宋" w:cs="Times New Roman"/>
          <w:sz w:val="24"/>
          <w:szCs w:val="24"/>
          <w:lang w:val="en-US" w:eastAsia="zh-CN"/>
        </w:rPr>
        <w:t>下浮率）进行结算，最终结算金额以甲方实际使用数量计算。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预付备用金。本合同签订时，甲方向乙方支付人民币肆万元作为预付备用金，每次加油直接在备用金抵扣并在次月补足约定金额。如甲方车辆和加油量的增减发生实际变化，双方可协商对额度作适当的调整。合同到期后，如双方无继续合作意愿，经核实如采购人无欠加油费，乙方不计利息退回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3.支付方式。乙方每月向甲方提供车辆明细加油清单。乙方于每月 5号前向甲方提交结算单申请支付费用，补足预付备用金数额。乙方根据双方确认金额开具发票，甲方在收到发票资料审核并在符合支付条件的5个工作日内以银行对公转账形式付款。如甲方逾期付款超过肆万元用油额度，乙方有权视情况暂停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4.乙方根据甲方每月实际加油金额开具发票。如甲方需要变更税票类型、变更公司开票资料等，应提前以书面形式（盖单位公章）通知乙方。经确认后的书面通知作为本合同补充附件。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八、违约责任与赔偿损失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1.乙方提供的服务不符合采购文件、报价文件或本合同规定的，甲方有权拒收，并且乙方须向甲方方支付本合同总价5%的违约金。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4.其它违约责任按《中华人民共和国合同法》处理。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九、争议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十、不可抗力：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十一、税费：在中国境内、外发生的与本合同执行有关的一切税费均由乙方负担。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十二、其它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1.本合同所有附件、采购文件、响应文件、成交通知书均为合同的有效组成部分，与本合同具有同等法律效力。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十三、合同生效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2.合同一式伍份。甲方执叁份，乙方执贰份。</w:t>
      </w:r>
    </w:p>
    <w:p>
      <w:pPr>
        <w:adjustRightInd w:val="0"/>
        <w:snapToGrid w:val="0"/>
        <w:spacing w:line="360" w:lineRule="auto"/>
        <w:ind w:left="-197" w:leftChars="-94" w:right="-567" w:rightChars="-270"/>
        <w:rPr>
          <w:rFonts w:hint="eastAsia" w:ascii="仿宋" w:hAnsi="仿宋" w:eastAsia="仿宋" w:cs="仿宋"/>
          <w:bCs/>
          <w:color w:val="000000"/>
          <w:kern w:val="2"/>
          <w:sz w:val="24"/>
          <w:szCs w:val="24"/>
          <w:highlight w:val="none"/>
          <w:lang w:val="en-US" w:eastAsia="zh-CN" w:bidi="ar-SA"/>
        </w:rPr>
      </w:pPr>
    </w:p>
    <w:p>
      <w:pPr>
        <w:adjustRightInd w:val="0"/>
        <w:snapToGrid w:val="0"/>
        <w:spacing w:line="360" w:lineRule="auto"/>
        <w:ind w:right="-567" w:rightChars="-27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甲方（盖章）：                        乙方（盖章）：</w:t>
      </w:r>
    </w:p>
    <w:p>
      <w:pPr>
        <w:adjustRightInd w:val="0"/>
        <w:snapToGrid w:val="0"/>
        <w:spacing w:line="360" w:lineRule="auto"/>
        <w:ind w:left="-197" w:leftChars="-94" w:right="-567" w:rightChars="-270" w:firstLine="240" w:firstLineChars="100"/>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法定代表：                            法定代表：</w:t>
      </w:r>
    </w:p>
    <w:p>
      <w:pPr>
        <w:adjustRightInd w:val="0"/>
        <w:snapToGrid w:val="0"/>
        <w:spacing w:line="360" w:lineRule="auto"/>
        <w:ind w:left="-197" w:leftChars="-94" w:right="-567" w:rightChars="-270" w:firstLine="240" w:firstLineChars="1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代表：                                代表： </w:t>
      </w:r>
    </w:p>
    <w:p>
      <w:pPr>
        <w:adjustRightInd w:val="0"/>
        <w:snapToGrid w:val="0"/>
        <w:spacing w:line="360" w:lineRule="auto"/>
        <w:ind w:left="-197" w:leftChars="-94" w:right="-567" w:rightChars="-270" w:firstLine="240" w:firstLineChars="1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签定日期：  年     月    日           签定日期：   年     月     日    </w:t>
      </w:r>
    </w:p>
    <w:p>
      <w:pPr>
        <w:adjustRightInd w:val="0"/>
        <w:snapToGrid w:val="0"/>
        <w:spacing w:line="360" w:lineRule="auto"/>
        <w:ind w:right="-567" w:rightChars="-270" w:firstLine="4560" w:firstLineChars="19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开户名称：</w:t>
      </w:r>
    </w:p>
    <w:p>
      <w:pPr>
        <w:ind w:firstLine="4560" w:firstLineChars="19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银行帐号</w:t>
      </w: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widowControl/>
        <w:shd w:val="clear" w:color="auto" w:fill="FFFFFF"/>
        <w:spacing w:line="501" w:lineRule="atLeast"/>
        <w:textAlignment w:val="baseline"/>
        <w:rPr>
          <w:rFonts w:hint="eastAsia" w:ascii="仿宋" w:hAnsi="仿宋" w:eastAsia="仿宋" w:cs="宋体"/>
          <w:color w:val="000000"/>
          <w:kern w:val="0"/>
          <w:sz w:val="28"/>
          <w:szCs w:val="28"/>
          <w:lang w:val="en-US" w:eastAsia="zh-CN"/>
        </w:rPr>
      </w:pPr>
      <w:r>
        <w:rPr>
          <w:rFonts w:hint="eastAsia" w:ascii="仿宋" w:hAnsi="仿宋" w:eastAsia="仿宋" w:cs="仿宋"/>
          <w:b/>
          <w:bCs/>
          <w:sz w:val="24"/>
          <w:szCs w:val="24"/>
          <w:lang w:val="en-US" w:eastAsia="zh-CN"/>
        </w:rPr>
        <w:t xml:space="preserve">附件：1  </w:t>
      </w:r>
      <w:r>
        <w:rPr>
          <w:rFonts w:hint="eastAsia" w:ascii="仿宋" w:hAnsi="仿宋" w:eastAsia="仿宋" w:cs="宋体"/>
          <w:color w:val="000000"/>
          <w:kern w:val="0"/>
          <w:sz w:val="28"/>
          <w:szCs w:val="28"/>
          <w:lang w:val="en-US" w:eastAsia="zh-CN"/>
        </w:rPr>
        <w:t>深汕中心医院救护车、公务车车辆信息表</w:t>
      </w:r>
    </w:p>
    <w:tbl>
      <w:tblPr>
        <w:tblStyle w:val="28"/>
        <w:tblpPr w:leftFromText="180" w:rightFromText="180" w:vertAnchor="text" w:horzAnchor="page" w:tblpX="1425" w:tblpY="449"/>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5"/>
        <w:gridCol w:w="1307"/>
        <w:gridCol w:w="2616"/>
        <w:gridCol w:w="24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Cs/>
                <w:sz w:val="24"/>
                <w:szCs w:val="24"/>
                <w:highlight w:val="yellow"/>
                <w:lang w:val="en-US" w:eastAsia="zh-CN"/>
              </w:rPr>
            </w:pPr>
            <w:r>
              <w:rPr>
                <w:rFonts w:hint="eastAsia" w:ascii="仿宋" w:hAnsi="仿宋" w:eastAsia="仿宋" w:cs="仿宋"/>
                <w:bCs/>
                <w:sz w:val="24"/>
                <w:szCs w:val="24"/>
                <w:highlight w:val="none"/>
                <w:lang w:val="en-US" w:eastAsia="zh-CN"/>
              </w:rPr>
              <w:t>车队主要联系人：</w:t>
            </w:r>
          </w:p>
        </w:tc>
        <w:tc>
          <w:tcPr>
            <w:tcW w:w="7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Cs/>
                <w:sz w:val="24"/>
                <w:szCs w:val="24"/>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车牌</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车型</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厂牌型号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粤NYL073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越野型救护车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ND5042XJH-EC5北地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粤NVL053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负压型救护车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XKC5041XJH6J新飞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粤NZB193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自动波型转运救护车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GZX5042XJH振轩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粤NRC037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XKC5031XJHA6新飞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粤NVP675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XKC5031XJHA6新飞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粤NPK021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方舱重症监护型救护车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GZX5042XJH振轩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粤NWD811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粤NHH100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粤NTM001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粤NMF536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粤NNY652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粤NP1367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粤N83527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粤N93037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bl>
    <w:p>
      <w:pPr>
        <w:pStyle w:val="27"/>
        <w:rPr>
          <w:rFonts w:hint="eastAsia" w:ascii="仿宋" w:hAnsi="仿宋" w:eastAsia="仿宋" w:cs="仿宋"/>
          <w:b/>
          <w:bCs/>
          <w:sz w:val="24"/>
          <w:szCs w:val="24"/>
          <w:lang w:val="en-US" w:eastAsia="zh-CN"/>
        </w:rPr>
      </w:pPr>
    </w:p>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b/>
          <w:color w:val="FF0000"/>
          <w:sz w:val="24"/>
          <w:szCs w:val="24"/>
          <w:highlight w:val="none"/>
        </w:rPr>
      </w:pPr>
    </w:p>
    <w:p>
      <w:pPr>
        <w:pStyle w:val="38"/>
        <w:rPr>
          <w:rFonts w:hint="eastAsia" w:ascii="仿宋" w:hAnsi="仿宋" w:eastAsia="仿宋" w:cs="仿宋"/>
          <w:b/>
          <w:color w:val="FF0000"/>
          <w:sz w:val="24"/>
          <w:szCs w:val="24"/>
          <w:highlight w:val="none"/>
        </w:rPr>
      </w:pPr>
    </w:p>
    <w:p>
      <w:pPr>
        <w:pStyle w:val="38"/>
        <w:rPr>
          <w:rFonts w:hint="eastAsia" w:ascii="仿宋" w:hAnsi="仿宋" w:eastAsia="仿宋" w:cs="仿宋"/>
          <w:b/>
          <w:bCs w:val="0"/>
          <w:color w:val="auto"/>
          <w:sz w:val="24"/>
          <w:szCs w:val="24"/>
          <w:highlight w:val="none"/>
        </w:rPr>
      </w:pPr>
    </w:p>
    <w:p>
      <w:pPr>
        <w:pStyle w:val="38"/>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0" w:firstLineChars="0"/>
      </w:pPr>
    </w:p>
    <w:p>
      <w:pPr>
        <w:pStyle w:val="38"/>
        <w:ind w:firstLine="0" w:firstLineChars="0"/>
      </w:pPr>
    </w:p>
    <w:p>
      <w:pPr>
        <w:pStyle w:val="38"/>
        <w:spacing w:line="360" w:lineRule="auto"/>
        <w:ind w:firstLine="0" w:firstLineChars="0"/>
        <w:jc w:val="center"/>
        <w:rPr>
          <w:rFonts w:hint="eastAsia" w:ascii="华文中宋" w:hAnsi="华文中宋" w:eastAsia="华文中宋" w:cs="华文中宋"/>
          <w:b/>
          <w:bCs/>
          <w:sz w:val="48"/>
          <w:szCs w:val="72"/>
        </w:rPr>
      </w:pPr>
    </w:p>
    <w:p>
      <w:pPr>
        <w:pStyle w:val="38"/>
        <w:spacing w:line="360" w:lineRule="auto"/>
        <w:ind w:firstLine="0" w:firstLineChars="0"/>
        <w:jc w:val="center"/>
        <w:rPr>
          <w:rFonts w:hint="eastAsia" w:ascii="华文中宋" w:hAnsi="华文中宋" w:eastAsia="华文中宋" w:cs="华文中宋"/>
          <w:b/>
          <w:bCs/>
          <w:sz w:val="48"/>
          <w:szCs w:val="72"/>
        </w:rPr>
      </w:pPr>
    </w:p>
    <w:p>
      <w:pPr>
        <w:pStyle w:val="38"/>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2" w:name="_Toc97049462"/>
      <w:bookmarkStart w:id="13" w:name="_Toc97049463"/>
    </w:p>
    <w:p>
      <w:pPr>
        <w:spacing w:line="360" w:lineRule="auto"/>
        <w:jc w:val="center"/>
        <w:rPr>
          <w:rFonts w:hint="eastAsia" w:ascii="儷宋 Pro" w:hAnsi="儷宋 Pro" w:eastAsia="儷宋 Pro"/>
          <w:b/>
          <w:sz w:val="52"/>
          <w:szCs w:val="32"/>
        </w:rPr>
      </w:pP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中山大学孙逸仙纪念医院深汕中心医院</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u w:val="single"/>
        </w:rPr>
        <w:t xml:space="preserve">             </w:t>
      </w:r>
      <w:r>
        <w:rPr>
          <w:rFonts w:hint="eastAsia" w:ascii="儷宋 Pro" w:hAnsi="儷宋 Pro" w:eastAsia="儷宋 Pro"/>
          <w:b/>
          <w:sz w:val="52"/>
          <w:szCs w:val="32"/>
        </w:rPr>
        <w:t>项目</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响 应 文 件</w:t>
      </w:r>
    </w:p>
    <w:p>
      <w:pPr>
        <w:pStyle w:val="14"/>
        <w:spacing w:line="360" w:lineRule="auto"/>
        <w:jc w:val="center"/>
        <w:rPr>
          <w:rFonts w:ascii="儷宋 Pro" w:hAnsi="儷宋 Pro" w:eastAsia="儷宋 Pro" w:cs="宋体"/>
          <w:b/>
          <w:sz w:val="32"/>
          <w:szCs w:val="32"/>
        </w:rPr>
      </w:pPr>
      <w:r>
        <w:rPr>
          <w:rFonts w:hint="eastAsia" w:ascii="儷宋 Pro" w:hAnsi="儷宋 Pro" w:eastAsia="儷宋 Pro" w:cs="宋体"/>
          <w:b/>
          <w:sz w:val="32"/>
          <w:szCs w:val="32"/>
        </w:rPr>
        <w:t>(正本/副本）</w:t>
      </w: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2"/>
    <w:p>
      <w:pPr>
        <w:pStyle w:val="5"/>
        <w:pageBreakBefore/>
        <w:jc w:val="center"/>
        <w:rPr>
          <w:rFonts w:hint="eastAsia" w:ascii="仿宋" w:hAnsi="仿宋" w:eastAsia="仿宋" w:cs="仿宋"/>
          <w:color w:val="000000"/>
          <w:sz w:val="24"/>
          <w:szCs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8"/>
        <w:rPr>
          <w:rFonts w:hint="eastAsia" w:ascii="仿宋" w:hAnsi="仿宋" w:eastAsia="仿宋" w:cs="仿宋"/>
          <w:color w:val="000000"/>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firstLine="400"/>
        <w:rPr>
          <w:rFonts w:hint="eastAsia" w:ascii="仿宋" w:hAnsi="仿宋" w:eastAsia="仿宋" w:cs="仿宋"/>
          <w:color w:val="000000"/>
          <w:sz w:val="24"/>
          <w:szCs w:val="24"/>
          <w:highlight w:val="none"/>
        </w:rPr>
      </w:pP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8"/>
        <w:adjustRightInd w:val="0"/>
        <w:snapToGrid w:val="0"/>
        <w:spacing w:line="360" w:lineRule="auto"/>
        <w:ind w:firstLine="0" w:firstLineChars="0"/>
        <w:rPr>
          <w:rFonts w:hint="eastAsia" w:ascii="仿宋" w:hAnsi="仿宋" w:eastAsia="仿宋" w:cs="仿宋"/>
          <w:sz w:val="24"/>
          <w:szCs w:val="24"/>
        </w:rPr>
      </w:pPr>
    </w:p>
    <w:bookmarkEnd w:id="13"/>
    <w:p>
      <w:pPr>
        <w:pStyle w:val="5"/>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8"/>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中山大学孙逸仙纪念医院深汕中心医院车辆定点加油服务项目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8"/>
        <w:ind w:left="0" w:leftChars="0" w:firstLine="0" w:firstLineChars="0"/>
        <w:rPr>
          <w:rFonts w:hint="eastAsia" w:ascii="仿宋" w:hAnsi="仿宋" w:eastAsia="仿宋" w:cs="仿宋"/>
          <w:color w:val="000000"/>
          <w:sz w:val="21"/>
          <w:szCs w:val="21"/>
          <w:highlight w:val="none"/>
        </w:rPr>
      </w:pPr>
    </w:p>
    <w:p>
      <w:pPr>
        <w:pStyle w:val="38"/>
        <w:ind w:left="0" w:leftChars="0" w:firstLine="0" w:firstLineChars="0"/>
        <w:rPr>
          <w:rFonts w:hint="eastAsia" w:ascii="仿宋" w:hAnsi="仿宋" w:eastAsia="仿宋" w:cs="仿宋"/>
          <w:color w:val="000000"/>
          <w:sz w:val="21"/>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684"/>
        <w:gridCol w:w="70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25" w:hRule="atLeast"/>
          <w:jc w:val="center"/>
        </w:trPr>
        <w:tc>
          <w:tcPr>
            <w:tcW w:w="1684" w:type="dxa"/>
            <w:noWrap w:val="0"/>
            <w:vAlign w:val="center"/>
          </w:tcPr>
          <w:p>
            <w:pPr>
              <w:tabs>
                <w:tab w:val="left" w:pos="8364"/>
              </w:tabs>
              <w:snapToGrid w:val="0"/>
              <w:spacing w:line="360" w:lineRule="auto"/>
              <w:ind w:right="-58" w:righ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响应下浮率</w:t>
            </w:r>
          </w:p>
        </w:tc>
        <w:tc>
          <w:tcPr>
            <w:tcW w:w="7043" w:type="dxa"/>
            <w:tcBorders>
              <w:bottom w:val="single" w:color="auto" w:sz="4" w:space="0"/>
            </w:tcBorders>
            <w:noWrap w:val="0"/>
            <w:vAlign w:val="center"/>
          </w:tcPr>
          <w:p>
            <w:pPr>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35" w:hRule="atLeast"/>
          <w:jc w:val="center"/>
        </w:trPr>
        <w:tc>
          <w:tcPr>
            <w:tcW w:w="1684"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b/>
                <w:sz w:val="24"/>
                <w:szCs w:val="24"/>
                <w:lang w:val="en-US" w:eastAsia="zh-CN"/>
              </w:rPr>
              <w:t>响应</w:t>
            </w:r>
            <w:r>
              <w:rPr>
                <w:rFonts w:hint="eastAsia" w:ascii="仿宋" w:hAnsi="仿宋" w:eastAsia="仿宋" w:cs="仿宋"/>
                <w:b/>
                <w:sz w:val="24"/>
                <w:szCs w:val="24"/>
              </w:rPr>
              <w:t>有效期</w:t>
            </w:r>
          </w:p>
        </w:tc>
        <w:tc>
          <w:tcPr>
            <w:tcW w:w="7043"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sz w:val="24"/>
                <w:szCs w:val="24"/>
              </w:rPr>
              <w:t>自</w:t>
            </w:r>
            <w:r>
              <w:rPr>
                <w:rFonts w:hint="eastAsia" w:ascii="仿宋" w:hAnsi="仿宋" w:eastAsia="仿宋" w:cs="仿宋"/>
                <w:sz w:val="24"/>
                <w:szCs w:val="24"/>
                <w:lang w:val="en-US" w:eastAsia="zh-CN"/>
              </w:rPr>
              <w:t>提交响应文件的截止之日</w:t>
            </w:r>
            <w:r>
              <w:rPr>
                <w:rFonts w:hint="eastAsia" w:ascii="仿宋" w:hAnsi="仿宋" w:eastAsia="仿宋" w:cs="仿宋"/>
                <w:sz w:val="24"/>
                <w:szCs w:val="24"/>
              </w:rPr>
              <w:t>起90个公历日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jc w:val="center"/>
        </w:trPr>
        <w:tc>
          <w:tcPr>
            <w:tcW w:w="1684"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b/>
                <w:sz w:val="24"/>
                <w:szCs w:val="24"/>
              </w:rPr>
              <w:t>备注</w:t>
            </w:r>
          </w:p>
        </w:tc>
        <w:tc>
          <w:tcPr>
            <w:tcW w:w="7043" w:type="dxa"/>
            <w:noWrap w:val="0"/>
            <w:vAlign w:val="center"/>
          </w:tcPr>
          <w:p>
            <w:pPr>
              <w:tabs>
                <w:tab w:val="left" w:pos="8364"/>
              </w:tabs>
              <w:snapToGrid w:val="0"/>
              <w:spacing w:line="360" w:lineRule="auto"/>
              <w:ind w:right="-58"/>
              <w:jc w:val="center"/>
              <w:rPr>
                <w:rFonts w:hint="eastAsia" w:ascii="仿宋" w:hAnsi="仿宋" w:eastAsia="仿宋" w:cs="仿宋"/>
                <w:sz w:val="24"/>
                <w:szCs w:val="24"/>
              </w:rPr>
            </w:pPr>
          </w:p>
        </w:tc>
      </w:tr>
    </w:tbl>
    <w:p>
      <w:pPr>
        <w:pStyle w:val="38"/>
        <w:ind w:left="0" w:leftChars="0" w:firstLine="0" w:firstLineChars="0"/>
        <w:rPr>
          <w:rFonts w:hint="eastAsia" w:ascii="仿宋" w:hAnsi="仿宋" w:eastAsia="仿宋" w:cs="仿宋"/>
          <w:color w:val="auto"/>
          <w:sz w:val="21"/>
          <w:szCs w:val="21"/>
          <w:highlight w:val="none"/>
        </w:rPr>
      </w:pPr>
    </w:p>
    <w:p>
      <w:pPr>
        <w:pStyle w:val="3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1、响应</w:t>
      </w:r>
      <w:r>
        <w:rPr>
          <w:rFonts w:hint="eastAsia" w:ascii="仿宋" w:hAnsi="仿宋" w:eastAsia="仿宋" w:cs="仿宋"/>
          <w:color w:val="auto"/>
          <w:sz w:val="21"/>
          <w:szCs w:val="21"/>
          <w:highlight w:val="none"/>
        </w:rPr>
        <w:t>人须按要求填写所有信息，不得随意更改本表格式。</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响应报价应为响应人完成本项目全部内容所需费用的含税下浮报价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若成交，</w:t>
      </w:r>
      <w:r>
        <w:rPr>
          <w:rFonts w:hint="eastAsia" w:ascii="仿宋" w:hAnsi="仿宋" w:eastAsia="仿宋" w:cs="仿宋"/>
          <w:color w:val="auto"/>
          <w:sz w:val="21"/>
          <w:szCs w:val="21"/>
          <w:highlight w:val="none"/>
          <w:lang w:val="en-US" w:eastAsia="zh-CN"/>
        </w:rPr>
        <w:t>按照加油站当日挂牌零售价（单位：元/升）</w:t>
      </w:r>
      <w:r>
        <w:rPr>
          <w:rFonts w:hint="default"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下浮率）进行结算，最终结算金额以采购人实际使用数量计算。该金额</w:t>
      </w:r>
      <w:r>
        <w:rPr>
          <w:rFonts w:hint="eastAsia" w:ascii="仿宋" w:hAnsi="仿宋" w:eastAsia="仿宋" w:cs="仿宋"/>
          <w:color w:val="auto"/>
          <w:sz w:val="21"/>
          <w:szCs w:val="21"/>
          <w:highlight w:val="none"/>
          <w:lang w:val="zh-TW" w:eastAsia="zh-CN"/>
        </w:rPr>
        <w:t>包含单位货物价款、运输费、保险费用、税费及售后服务等一切费用。（如遇国家价格调整，在价格调整基础上折扣不变。）</w:t>
      </w:r>
    </w:p>
    <w:p>
      <w:pPr>
        <w:pStyle w:val="38"/>
        <w:ind w:left="0" w:lef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本项目不接受有选择性的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响应下浮率须＜100%，且为固定唯一值、不得为 0 或负数,该下浮率必须为固定报价（如10%），不得存在区间值（如10%～15%），否则将作无效响应处理</w:t>
      </w:r>
      <w:r>
        <w:rPr>
          <w:rFonts w:hint="eastAsia" w:ascii="仿宋" w:hAnsi="仿宋" w:eastAsia="仿宋" w:cs="仿宋"/>
          <w:color w:val="auto"/>
          <w:sz w:val="21"/>
          <w:szCs w:val="21"/>
          <w:highlight w:val="none"/>
          <w:lang w:eastAsia="zh-CN"/>
        </w:rPr>
        <w:t>。</w:t>
      </w:r>
    </w:p>
    <w:p>
      <w:pPr>
        <w:pStyle w:val="38"/>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r>
        <w:rPr>
          <w:rFonts w:hint="default" w:ascii="仿宋" w:hAnsi="仿宋" w:eastAsia="仿宋" w:cs="仿宋"/>
          <w:color w:val="auto"/>
          <w:sz w:val="21"/>
          <w:szCs w:val="21"/>
          <w:highlight w:val="none"/>
          <w:lang w:val="en-US" w:eastAsia="zh-CN"/>
        </w:rPr>
        <w:t>.供应商在调整油价之前，应将调整油价通知提供给</w:t>
      </w:r>
      <w:r>
        <w:rPr>
          <w:rFonts w:hint="eastAsia" w:ascii="仿宋" w:hAnsi="仿宋" w:eastAsia="仿宋" w:cs="仿宋"/>
          <w:color w:val="auto"/>
          <w:sz w:val="21"/>
          <w:szCs w:val="21"/>
          <w:highlight w:val="none"/>
          <w:lang w:val="en-US" w:eastAsia="zh-CN"/>
        </w:rPr>
        <w:t>采购人</w:t>
      </w:r>
      <w:r>
        <w:rPr>
          <w:rFonts w:hint="default" w:ascii="仿宋" w:hAnsi="仿宋" w:eastAsia="仿宋" w:cs="仿宋"/>
          <w:color w:val="auto"/>
          <w:sz w:val="21"/>
          <w:szCs w:val="21"/>
          <w:highlight w:val="none"/>
          <w:lang w:val="en-US" w:eastAsia="zh-CN"/>
        </w:rPr>
        <w:t>，调整后价格按政府批文日期执行。</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TW" w:eastAsia="zh-CN"/>
        </w:rPr>
        <w:t>供应商应充分了解项目区域的条件、情况以及影响报价的其他要素，结合市场情况进行报价。</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7</w:t>
      </w:r>
      <w:r>
        <w:rPr>
          <w:rFonts w:hint="default"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TW" w:eastAsia="zh-CN"/>
        </w:rPr>
        <w:t>少报漏报的内容，均已包含在</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val="zh-TW" w:eastAsia="zh-CN"/>
        </w:rPr>
        <w:t>内，成交</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zh-TW" w:eastAsia="zh-CN"/>
        </w:rPr>
        <w:t>不得以任何的形式向采购人索要追加任何的费用。</w:t>
      </w:r>
    </w:p>
    <w:p>
      <w:pPr>
        <w:pStyle w:val="3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此表是响应文件的必要</w:t>
      </w:r>
      <w:r>
        <w:rPr>
          <w:rFonts w:hint="eastAsia" w:ascii="仿宋" w:hAnsi="仿宋" w:eastAsia="仿宋" w:cs="仿宋"/>
          <w:color w:val="auto"/>
          <w:sz w:val="21"/>
          <w:szCs w:val="21"/>
          <w:highlight w:val="none"/>
          <w:lang w:val="en-US" w:eastAsia="zh-CN"/>
        </w:rPr>
        <w:t>组成</w:t>
      </w:r>
      <w:r>
        <w:rPr>
          <w:rFonts w:hint="eastAsia" w:ascii="仿宋" w:hAnsi="仿宋" w:eastAsia="仿宋" w:cs="仿宋"/>
          <w:color w:val="auto"/>
          <w:sz w:val="21"/>
          <w:szCs w:val="21"/>
          <w:highlight w:val="none"/>
        </w:rPr>
        <w:t>文件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color w:val="000000"/>
          <w:kern w:val="2"/>
          <w:sz w:val="24"/>
          <w:szCs w:val="24"/>
          <w:highlight w:val="none"/>
          <w:lang w:val="en-US" w:eastAsia="zh-CN" w:bidi="ar-SA"/>
        </w:rPr>
      </w:pPr>
    </w:p>
    <w:p>
      <w:pPr>
        <w:pStyle w:val="38"/>
        <w:ind w:left="0" w:leftChars="0" w:firstLine="0" w:firstLineChars="0"/>
        <w:rPr>
          <w:rFonts w:hint="eastAsia" w:ascii="仿宋" w:hAnsi="仿宋" w:eastAsia="仿宋" w:cs="仿宋"/>
          <w:color w:val="000000"/>
          <w:highlight w:val="none"/>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p>
      <w:pPr>
        <w:pStyle w:val="10"/>
        <w:rPr>
          <w:rFonts w:hint="eastAsia" w:ascii="仿宋" w:hAnsi="仿宋" w:eastAsia="仿宋" w:cs="仿宋"/>
          <w:b/>
          <w:bCs/>
          <w:color w:val="000000"/>
          <w:sz w:val="21"/>
          <w:szCs w:val="21"/>
          <w:highlight w:val="none"/>
          <w:lang w:eastAsia="zh-CN"/>
        </w:rPr>
      </w:pPr>
    </w:p>
    <w:tbl>
      <w:tblPr>
        <w:tblStyle w:val="28"/>
        <w:tblpPr w:leftFromText="180" w:rightFromText="180" w:vertAnchor="text" w:horzAnchor="page" w:tblpX="1226" w:tblpY="310"/>
        <w:tblOverlap w:val="never"/>
        <w:tblW w:w="96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17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sz w:val="21"/>
                <w:szCs w:val="21"/>
                <w:highlight w:val="none"/>
                <w:u w:val="none"/>
                <w:lang w:val="en-US" w:eastAsia="zh-CN"/>
              </w:rPr>
              <w:t>供应商</w:t>
            </w:r>
            <w:r>
              <w:rPr>
                <w:rFonts w:hint="eastAsia" w:ascii="仿宋" w:hAnsi="仿宋" w:eastAsia="仿宋" w:cs="仿宋"/>
                <w:color w:val="auto"/>
                <w:sz w:val="21"/>
                <w:szCs w:val="21"/>
                <w:highlight w:val="none"/>
                <w:u w:val="none"/>
              </w:rPr>
              <w:t>必须是具有独立承担民事责任能力的在中华人民共和国境内注册的法人或其他组织</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提供有效的营业执照（或事业法人登记证或身份证等相关证明）副本复印件</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如非“三证合一”证照，同时提供税务登记证副本复印件,加盖公章</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如为分公司</w:t>
            </w:r>
            <w:r>
              <w:rPr>
                <w:rFonts w:hint="eastAsia" w:ascii="仿宋" w:hAnsi="仿宋" w:eastAsia="仿宋" w:cs="仿宋"/>
                <w:sz w:val="21"/>
                <w:szCs w:val="21"/>
                <w:highlight w:val="none"/>
                <w:u w:val="none"/>
                <w:lang w:val="en-US" w:eastAsia="zh-CN"/>
              </w:rPr>
              <w:t>报名</w:t>
            </w:r>
            <w:r>
              <w:rPr>
                <w:rFonts w:hint="eastAsia" w:ascii="仿宋" w:hAnsi="仿宋" w:eastAsia="仿宋" w:cs="仿宋"/>
                <w:sz w:val="21"/>
                <w:szCs w:val="21"/>
                <w:highlight w:val="none"/>
                <w:u w:val="none"/>
              </w:rPr>
              <w:t>，必须</w:t>
            </w:r>
            <w:r>
              <w:rPr>
                <w:rFonts w:hint="eastAsia" w:ascii="仿宋" w:hAnsi="仿宋" w:eastAsia="仿宋" w:cs="仿宋"/>
                <w:sz w:val="21"/>
                <w:szCs w:val="21"/>
                <w:highlight w:val="none"/>
                <w:u w:val="none"/>
                <w:lang w:val="en-US" w:eastAsia="zh-CN"/>
              </w:rPr>
              <w:t>同时</w:t>
            </w:r>
            <w:r>
              <w:rPr>
                <w:rFonts w:hint="eastAsia" w:ascii="仿宋" w:hAnsi="仿宋" w:eastAsia="仿宋" w:cs="仿宋"/>
                <w:sz w:val="21"/>
                <w:szCs w:val="21"/>
                <w:highlight w:val="none"/>
                <w:u w:val="none"/>
              </w:rPr>
              <w:t>提供总公司的营业执照副本复印件及总公司针对本项目</w:t>
            </w:r>
            <w:r>
              <w:rPr>
                <w:rFonts w:hint="eastAsia" w:ascii="仿宋" w:hAnsi="仿宋" w:eastAsia="仿宋" w:cs="仿宋"/>
                <w:sz w:val="21"/>
                <w:szCs w:val="21"/>
                <w:highlight w:val="none"/>
                <w:u w:val="none"/>
                <w:lang w:val="en-US" w:eastAsia="zh-CN"/>
              </w:rPr>
              <w:t>响应</w:t>
            </w:r>
            <w:r>
              <w:rPr>
                <w:rFonts w:hint="eastAsia" w:ascii="仿宋" w:hAnsi="仿宋" w:eastAsia="仿宋" w:cs="仿宋"/>
                <w:sz w:val="21"/>
                <w:szCs w:val="21"/>
                <w:highlight w:val="none"/>
                <w:u w:val="none"/>
              </w:rPr>
              <w:t>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sz w:val="21"/>
                <w:szCs w:val="21"/>
                <w:highlight w:val="none"/>
                <w:u w:val="none"/>
                <w:lang w:val="en-US" w:eastAsia="zh-CN"/>
              </w:rPr>
              <w:t>供应商须具备有效的《成品油批发经营批准证书》或《成品油零售经营批准证书》、《危险化学品经营许可证》。（提供有效期内的证书复印件并加盖供应商公章。）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firstLine="210" w:firstLineChars="10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rPr>
          <w:rFonts w:hint="eastAsia" w:ascii="仿宋" w:hAnsi="仿宋" w:eastAsia="仿宋" w:cs="仿宋"/>
          <w:b/>
          <w:bCs/>
          <w:color w:val="000000"/>
          <w:sz w:val="21"/>
          <w:szCs w:val="21"/>
          <w:highlight w:val="none"/>
          <w:lang w:eastAsia="zh-CN"/>
        </w:rPr>
      </w:pPr>
    </w:p>
    <w:p>
      <w:pPr>
        <w:pageBreakBefore w:val="0"/>
        <w:kinsoku/>
        <w:wordWrap/>
        <w:overflowPunct/>
        <w:topLinePunct w:val="0"/>
        <w:autoSpaceDE w:val="0"/>
        <w:autoSpaceDN w:val="0"/>
        <w:bidi w:val="0"/>
        <w:adjustRightInd w:val="0"/>
        <w:ind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8"/>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8"/>
        <w:ind w:firstLine="400"/>
        <w:rPr>
          <w:rFonts w:ascii="宋体" w:hAnsi="宋体" w:cs="宋体"/>
          <w:szCs w:val="21"/>
        </w:rPr>
      </w:pPr>
    </w:p>
    <w:p>
      <w:pPr>
        <w:pStyle w:val="38"/>
        <w:ind w:firstLine="400"/>
        <w:rPr>
          <w:rFonts w:ascii="宋体" w:hAnsi="宋体" w:cs="宋体"/>
          <w:szCs w:val="21"/>
        </w:rPr>
      </w:pPr>
    </w:p>
    <w:p>
      <w:pPr>
        <w:pStyle w:val="38"/>
        <w:ind w:firstLine="400"/>
        <w:rPr>
          <w:rFonts w:ascii="宋体" w:hAnsi="宋体" w:cs="宋体"/>
          <w:szCs w:val="21"/>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firstLine="400"/>
        <w:rPr>
          <w:rFonts w:ascii="宋体" w:hAnsi="宋体" w:cs="宋体"/>
          <w:szCs w:val="21"/>
        </w:rPr>
      </w:pPr>
    </w:p>
    <w:p>
      <w:pPr>
        <w:pStyle w:val="38"/>
        <w:ind w:firstLine="400"/>
        <w:rPr>
          <w:rFonts w:ascii="宋体" w:hAnsi="宋体" w:cs="宋体"/>
          <w:szCs w:val="21"/>
        </w:rPr>
      </w:pPr>
    </w:p>
    <w:p>
      <w:pPr>
        <w:pStyle w:val="38"/>
        <w:ind w:firstLine="400"/>
        <w:rPr>
          <w:rFonts w:ascii="宋体" w:hAnsi="宋体" w:cs="宋体"/>
          <w:szCs w:val="21"/>
        </w:rPr>
      </w:pPr>
    </w:p>
    <w:p>
      <w:pPr>
        <w:pStyle w:val="13"/>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3"/>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spacing w:val="0"/>
          <w:kern w:val="2"/>
          <w:sz w:val="30"/>
          <w:szCs w:val="30"/>
          <w:lang w:val="en-US" w:eastAsia="zh-CN" w:bidi="ar-SA"/>
        </w:rPr>
      </w:pPr>
    </w:p>
    <w:p>
      <w:pPr>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4、《成品油批发经营批准证书》或《成品油零售经营批准证书》、《危险化学品经营许可证》</w:t>
      </w: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both"/>
        <w:rPr>
          <w:rFonts w:hint="eastAsia" w:ascii="仿宋" w:hAnsi="仿宋" w:eastAsia="仿宋" w:cs="仿宋"/>
          <w:b/>
          <w:bCs/>
          <w:sz w:val="28"/>
          <w:szCs w:val="28"/>
          <w:highlight w:val="none"/>
          <w:lang w:val="en-US" w:eastAsia="zh-CN"/>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8"/>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8"/>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ageBreakBefore w:val="0"/>
        <w:numPr>
          <w:ilvl w:val="0"/>
          <w:numId w:val="3"/>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3"/>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3"/>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3"/>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3"/>
        <w:tabs>
          <w:tab w:val="left" w:pos="900"/>
        </w:tabs>
        <w:spacing w:line="400" w:lineRule="exact"/>
        <w:jc w:val="center"/>
        <w:rPr>
          <w:rFonts w:hint="eastAsia" w:ascii="仿宋" w:hAnsi="仿宋" w:eastAsia="仿宋" w:cs="仿宋"/>
          <w:b/>
          <w:color w:val="000000"/>
          <w:sz w:val="24"/>
          <w:szCs w:val="24"/>
        </w:rPr>
      </w:pPr>
    </w:p>
    <w:p>
      <w:pPr>
        <w:pStyle w:val="13"/>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车辆定点加油服务项目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3"/>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10"/>
        <w:pageBreakBefore w:val="0"/>
        <w:kinsoku/>
        <w:wordWrap/>
        <w:overflowPunct/>
        <w:topLinePunct w:val="0"/>
        <w:bidi w:val="0"/>
        <w:spacing w:line="360" w:lineRule="auto"/>
        <w:ind w:right="0" w:rightChars="0"/>
        <w:jc w:val="center"/>
        <w:rPr>
          <w:rFonts w:hint="eastAsia" w:ascii="仿宋" w:hAnsi="仿宋" w:eastAsia="仿宋" w:cs="仿宋"/>
          <w:b/>
          <w:bCs/>
          <w:sz w:val="32"/>
          <w:szCs w:val="32"/>
          <w:highlight w:val="yellow"/>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三、商务评审</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8"/>
        <w:tblpPr w:leftFromText="180" w:rightFromText="180" w:vertAnchor="text" w:horzAnchor="page" w:tblpX="917" w:tblpY="62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16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450"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6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511"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86"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163"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2022年1月1日至今（以合同签订时间为准）完成同类业绩情况，每提交1份项目业绩材料得2分，最高得8分。</w:t>
            </w:r>
          </w:p>
          <w:p>
            <w:pPr>
              <w:pStyle w:val="11"/>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163" w:type="dxa"/>
            <w:vAlign w:val="center"/>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供应商具有有效的质量管理体系认证、环境管理体系认证、职业健康安全管理体系认证证书。每提供一个得2分，最高6分。</w:t>
            </w:r>
          </w:p>
          <w:p>
            <w:pPr>
              <w:adjustRightInd w:val="0"/>
              <w:snapToGrid w:val="0"/>
              <w:jc w:val="left"/>
              <w:rPr>
                <w:rFonts w:hint="eastAsia"/>
                <w:b/>
                <w:bCs w:val="0"/>
                <w:lang w:eastAsia="zh-CN"/>
              </w:rPr>
            </w:pPr>
            <w:r>
              <w:rPr>
                <w:rFonts w:hint="eastAsia" w:ascii="仿宋" w:hAnsi="仿宋" w:eastAsia="仿宋" w:cs="仿宋"/>
                <w:b w:val="0"/>
                <w:bCs w:val="0"/>
                <w:kern w:val="2"/>
                <w:sz w:val="24"/>
                <w:szCs w:val="24"/>
                <w:lang w:val="en-US" w:eastAsia="zh-CN" w:bidi="ar-SA"/>
              </w:rPr>
              <w:t>注:以上证书提供有效的证书复印件并加盖供应商公章，不清晰或未提供均不得分。</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163" w:type="dxa"/>
            <w:vAlign w:val="top"/>
          </w:tcPr>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根据供应商提供的加油网点数量进行评审：</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以汕尾到广州为单位，加油网点覆盖数量≥10，得6分；5≤加油网点覆盖数量＜10，得3分；1≤加油网点覆盖数量＜5，得1分；其余不得分。</w:t>
            </w:r>
          </w:p>
          <w:p>
            <w:pPr>
              <w:numPr>
                <w:ilvl w:val="0"/>
                <w:numId w:val="0"/>
              </w:num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kern w:val="2"/>
                <w:sz w:val="24"/>
                <w:szCs w:val="24"/>
                <w:highlight w:val="none"/>
                <w:lang w:val="en-US" w:eastAsia="zh-CN" w:bidi="ar-SA"/>
              </w:rPr>
              <w:t>注：必须提供加油站点数量、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以及相关证明材料，不提供不得分。</w:t>
            </w:r>
          </w:p>
        </w:tc>
        <w:tc>
          <w:tcPr>
            <w:tcW w:w="1450"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8"/>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2、企业体系认证情况（如有）</w:t>
      </w:r>
    </w:p>
    <w:p>
      <w:pPr>
        <w:pStyle w:val="38"/>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颁发日期</w:t>
            </w:r>
          </w:p>
        </w:tc>
        <w:tc>
          <w:tcPr>
            <w:tcW w:w="2490" w:type="dxa"/>
            <w:vAlign w:val="center"/>
          </w:tcPr>
          <w:p>
            <w:pPr>
              <w:pStyle w:val="38"/>
              <w:ind w:firstLine="843" w:firstLineChars="300"/>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名称</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颁发机构</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bl>
    <w:p>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8"/>
        <w:ind w:firstLine="643"/>
        <w:jc w:val="center"/>
        <w:rPr>
          <w:rFonts w:hint="eastAsia" w:ascii="仿宋" w:hAnsi="仿宋" w:eastAsia="仿宋" w:cs="仿宋"/>
          <w:b/>
          <w:sz w:val="32"/>
          <w:szCs w:val="32"/>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ascii="仿宋" w:hAnsi="仿宋" w:eastAsia="仿宋" w:cs="仿宋"/>
          <w:color w:val="auto"/>
          <w:kern w:val="2"/>
          <w:sz w:val="21"/>
          <w:szCs w:val="21"/>
          <w:highlight w:val="none"/>
          <w:lang w:val="en-US" w:eastAsia="zh-CN" w:bidi="ar-SA"/>
        </w:rPr>
      </w:pPr>
    </w:p>
    <w:p>
      <w:pPr>
        <w:pStyle w:val="38"/>
        <w:numPr>
          <w:ilvl w:val="0"/>
          <w:numId w:val="0"/>
        </w:numPr>
        <w:ind w:leftChars="5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3、加油网点数量（如有）</w:t>
      </w:r>
    </w:p>
    <w:p>
      <w:pPr>
        <w:pStyle w:val="38"/>
        <w:numPr>
          <w:ilvl w:val="0"/>
          <w:numId w:val="0"/>
        </w:numPr>
        <w:ind w:leftChars="500"/>
        <w:jc w:val="both"/>
        <w:rPr>
          <w:rFonts w:hint="eastAsia" w:ascii="仿宋" w:hAnsi="仿宋" w:eastAsia="仿宋" w:cs="仿宋"/>
          <w:kern w:val="2"/>
          <w:sz w:val="24"/>
          <w:szCs w:val="24"/>
          <w:highlight w:val="none"/>
          <w:lang w:val="en-US" w:eastAsia="zh-CN" w:bidi="ar-SA"/>
        </w:rPr>
      </w:pPr>
    </w:p>
    <w:p>
      <w:pPr>
        <w:pStyle w:val="38"/>
        <w:numPr>
          <w:ilvl w:val="0"/>
          <w:numId w:val="0"/>
        </w:numPr>
        <w:ind w:leftChars="500"/>
        <w:jc w:val="both"/>
        <w:rPr>
          <w:rFonts w:hint="eastAsia" w:ascii="仿宋" w:hAnsi="仿宋" w:eastAsia="仿宋" w:cs="仿宋"/>
          <w:kern w:val="2"/>
          <w:sz w:val="24"/>
          <w:szCs w:val="24"/>
          <w:highlight w:val="none"/>
          <w:lang w:val="en-US" w:eastAsia="zh-CN" w:bidi="ar-SA"/>
        </w:rPr>
      </w:pPr>
    </w:p>
    <w:p>
      <w:pPr>
        <w:pStyle w:val="38"/>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kern w:val="2"/>
          <w:sz w:val="24"/>
          <w:szCs w:val="24"/>
          <w:highlight w:val="none"/>
          <w:lang w:val="en-US" w:eastAsia="zh-CN" w:bidi="ar-SA"/>
        </w:rPr>
        <w:t>注：须提供加油站点数量、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numPr>
          <w:ilvl w:val="0"/>
          <w:numId w:val="0"/>
        </w:numPr>
        <w:ind w:leftChars="500"/>
        <w:jc w:val="both"/>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 xml:space="preserve"> </w:t>
      </w:r>
    </w:p>
    <w:p>
      <w:pPr>
        <w:pStyle w:val="10"/>
        <w:rPr>
          <w:rFonts w:hint="eastAsia" w:ascii="仿宋" w:hAnsi="仿宋" w:eastAsia="仿宋" w:cs="仿宋"/>
          <w:color w:val="auto"/>
          <w:kern w:val="2"/>
          <w:sz w:val="21"/>
          <w:szCs w:val="21"/>
          <w:highlight w:val="none"/>
          <w:lang w:val="en-US" w:eastAsia="zh-CN" w:bidi="ar-SA"/>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left="0" w:leftChars="0" w:firstLine="0" w:firstLineChars="0"/>
        <w:jc w:val="center"/>
        <w:rPr>
          <w:rFonts w:hint="eastAsia" w:ascii="仿宋" w:hAnsi="仿宋" w:eastAsia="仿宋" w:cs="仿宋"/>
          <w:b/>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2"/>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tbl>
      <w:tblPr>
        <w:tblStyle w:val="28"/>
        <w:tblpPr w:leftFromText="180" w:rightFromText="180" w:vertAnchor="text" w:horzAnchor="page" w:tblpX="1119" w:tblpY="48"/>
        <w:tblOverlap w:val="never"/>
        <w:tblW w:w="1017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1773"/>
        <w:gridCol w:w="4440"/>
        <w:gridCol w:w="1300"/>
        <w:gridCol w:w="20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序号</w:t>
            </w:r>
          </w:p>
        </w:tc>
        <w:tc>
          <w:tcPr>
            <w:tcW w:w="1773" w:type="dxa"/>
            <w:vAlign w:val="top"/>
          </w:tcPr>
          <w:p>
            <w:pPr>
              <w:keepNext w:val="0"/>
              <w:keepLines w:val="0"/>
              <w:pageBreakBefore w:val="0"/>
              <w:kinsoku/>
              <w:wordWrap/>
              <w:overflowPunct/>
              <w:topLinePunct w:val="0"/>
              <w:autoSpaceDE/>
              <w:autoSpaceDN/>
              <w:bidi w:val="0"/>
              <w:spacing w:line="280" w:lineRule="exact"/>
              <w:jc w:val="left"/>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评审指标</w:t>
            </w:r>
          </w:p>
        </w:tc>
        <w:tc>
          <w:tcPr>
            <w:tcW w:w="444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2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773" w:type="dxa"/>
            <w:vAlign w:val="top"/>
          </w:tcPr>
          <w:p>
            <w:pPr>
              <w:keepNext w:val="0"/>
              <w:keepLines w:val="0"/>
              <w:widowControl/>
              <w:suppressLineNumbers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根据供应商提供的服务实施方案（包括但不限于包括加油服务的管理、对一车一卡进行加油卡绑定、核对车牌的操作过程、加油服务运作流程、加油人员设置，对账查询方式等）进行综合评审：</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（1）服务实施方案内容完整全面完善、描述详细、清晰，满足采购需要，完全切合本项目实际，可行性强，合理性高，逻辑性高，得11分。 </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（2）服务实施方案内容完整、描述详细、 清晰，满足采购需要，切合本项目实际，可行性较强，合理性较高，逻辑性较高，得8分。</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（3）服务实施方案内容较完整、描述详细，基本满足采购需要，基本切合本项目实际，有一定的可行性、合理性及逻辑性，得4分 。</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（4）服务实施方案内容不完整、描述简单，基本满足采购需要，切合本项目实际程度低，可行性、合理性及逻辑性低，得1分。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（5）不提供方案，不得分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应急保供方案</w:t>
            </w:r>
          </w:p>
        </w:tc>
        <w:tc>
          <w:tcPr>
            <w:tcW w:w="4440" w:type="dxa"/>
            <w:vAlign w:val="top"/>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根据供应商提供的应急保供方案（包括但不限于针对本项目预测可能出现的问题，确保能在紧急情况下提供优先保障采购人车辆的加油需求所做的应急解决措施等）进行综合评审：</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提供单据、相片等实例证明材料）。得12分。 </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方案内容完整、描述详细、清晰；所预测可能出现的问题贴合本项目加油服务特点，考虑全面；应 急解决措施切合本项目实际，可行性较强，合理性较高。得8分。 </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方案内容较完整、详细；所预测可能出现的问题基本符合本项目加油服务特点 ；应急解决措施基本符合本项目实际，有一定的可行性及合理性。得4分。</w:t>
            </w:r>
          </w:p>
          <w:p>
            <w:pPr>
              <w:keepNext w:val="0"/>
              <w:keepLines w:val="0"/>
              <w:widowControl/>
              <w:numPr>
                <w:ilvl w:val="0"/>
                <w:numId w:val="2"/>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方案内容不完整；所预测可能出现的问题难以体现其符合本项目加油服务特点；应急解决措施切合本项目实际程度低，其可行性及合理性低，得1分。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（5）不提供方案，不得分。 </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color w:val="auto"/>
                <w:kern w:val="2"/>
                <w:sz w:val="24"/>
                <w:szCs w:val="24"/>
                <w:highlight w:val="none"/>
                <w:lang w:val="en-US" w:eastAsia="zh-CN" w:bidi="ar-SA"/>
              </w:rPr>
              <w:t>质量控制保障方案</w:t>
            </w:r>
          </w:p>
        </w:tc>
        <w:tc>
          <w:tcPr>
            <w:tcW w:w="4440" w:type="dxa"/>
            <w:vAlign w:val="top"/>
          </w:tcPr>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根据供应商提供的质量控制保障方案（包括但不限于油品标准化情况，以及保证油品在生产，运输，存储等全过程质量的保障措施等）进行综合评审：</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（1）方案内容完整全面完善、描述详细、清晰，满足采购需要，完全切合本项目实际，可行性强，合理性高，逻辑性高，得10分。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（2）方案内容完整、描述详细、清晰，满足采购需要，切合本项目实际，可行性较强，合理性较高，逻辑性较高，得7分。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（3）方案内容较完整、描述详细，基本满足采购需要，基本切合本项目实际，有一定的可行性、合理性及逻辑性，得4分。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（4）方案内容不完整、描述简单，基本满足采购需要，切合本项目实际程度低，可行性、合理性及逻辑性低，得1分。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（5）不提供方案，不得分。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7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2"/>
                <w:sz w:val="24"/>
                <w:szCs w:val="24"/>
                <w:highlight w:val="none"/>
                <w:lang w:val="en-US" w:eastAsia="zh-CN" w:bidi="ar-SA"/>
              </w:rPr>
              <w:t>服务便利性</w:t>
            </w:r>
            <w:r>
              <w:rPr>
                <w:rFonts w:hint="eastAsia" w:ascii="仿宋" w:hAnsi="仿宋" w:eastAsia="仿宋" w:cs="仿宋"/>
                <w:color w:val="000000"/>
                <w:kern w:val="0"/>
                <w:sz w:val="24"/>
                <w:szCs w:val="24"/>
                <w:highlight w:val="none"/>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highlight w:val="none"/>
                <w:lang w:val="en-US" w:eastAsia="zh-CN" w:bidi="ar-SA"/>
              </w:rPr>
            </w:pPr>
          </w:p>
        </w:tc>
        <w:tc>
          <w:tcPr>
            <w:tcW w:w="4440" w:type="dxa"/>
            <w:vAlign w:val="top"/>
          </w:tcPr>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根据供应商服务便利性进行评审：</w:t>
            </w:r>
          </w:p>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1.供应商在服务路段有自营油站点的得4分，非自营站点得2分。（注：提供营业执照复印件）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2.供应商在广东省内常规高速公路及省道有连锁供应点的，得5分，没有则不得分；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kern w:val="2"/>
                <w:sz w:val="24"/>
                <w:szCs w:val="24"/>
                <w:highlight w:val="none"/>
                <w:lang w:val="en-US" w:eastAsia="zh-CN" w:bidi="ar-SA"/>
              </w:rPr>
              <w:t>注：以上均需提供相关证明材料，不提供不得分。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加油扩展性服务</w:t>
            </w: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1"/>
                <w:szCs w:val="21"/>
              </w:rPr>
            </w:pPr>
            <w:r>
              <w:rPr>
                <w:rFonts w:hint="eastAsia" w:ascii="仿宋" w:hAnsi="仿宋" w:eastAsia="仿宋" w:cs="仿宋"/>
                <w:kern w:val="2"/>
                <w:sz w:val="24"/>
                <w:szCs w:val="24"/>
                <w:highlight w:val="none"/>
                <w:lang w:val="en-US" w:eastAsia="zh-CN" w:bidi="ar-SA"/>
              </w:rPr>
              <w:t>注：提供承诺函并加盖供应商公章</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专属服务</w:t>
            </w: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rPr>
            </w:pPr>
            <w:r>
              <w:rPr>
                <w:rFonts w:hint="eastAsia" w:ascii="仿宋" w:hAnsi="仿宋" w:eastAsia="仿宋" w:cs="仿宋"/>
                <w:kern w:val="2"/>
                <w:sz w:val="24"/>
                <w:szCs w:val="24"/>
                <w:highlight w:val="none"/>
                <w:lang w:val="en-US" w:eastAsia="zh-CN" w:bidi="ar-SA"/>
              </w:rPr>
              <w:t>注：提供承诺函并加盖供应商公章</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有  </w:t>
            </w:r>
            <w:r>
              <w:rPr>
                <w:rFonts w:hint="eastAsia" w:ascii="仿宋" w:hAnsi="仿宋" w:eastAsia="仿宋" w:cs="仿宋"/>
                <w:sz w:val="21"/>
                <w:szCs w:val="21"/>
                <w:lang w:eastAsia="zh-CN"/>
              </w:rPr>
              <w:t>□</w:t>
            </w:r>
            <w:r>
              <w:rPr>
                <w:rFonts w:hint="eastAsia" w:ascii="仿宋" w:hAnsi="仿宋" w:eastAsia="仿宋" w:cs="仿宋"/>
                <w:sz w:val="21"/>
                <w:szCs w:val="21"/>
              </w:rPr>
              <w:t>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hint="eastAsia" w:ascii="仿宋" w:hAnsi="仿宋" w:eastAsia="仿宋" w:cs="仿宋"/>
          <w:szCs w:val="21"/>
        </w:rPr>
      </w:pPr>
    </w:p>
    <w:p>
      <w:pPr>
        <w:adjustRightInd w:val="0"/>
        <w:snapToGrid w:val="0"/>
        <w:rPr>
          <w:rFonts w:ascii="仿宋" w:hAnsi="仿宋" w:eastAsia="仿宋" w:cs="仿宋"/>
          <w:szCs w:val="21"/>
        </w:rPr>
      </w:pPr>
      <w:r>
        <w:rPr>
          <w:rFonts w:hint="eastAsia" w:ascii="仿宋" w:hAnsi="仿宋" w:eastAsia="仿宋" w:cs="仿宋"/>
          <w:szCs w:val="21"/>
          <w:lang w:val="en-US" w:eastAsia="zh-CN"/>
        </w:rPr>
        <w:t>备</w:t>
      </w:r>
      <w:r>
        <w:rPr>
          <w:rFonts w:hint="eastAsia" w:ascii="仿宋" w:hAnsi="仿宋" w:eastAsia="仿宋" w:cs="仿宋"/>
          <w:szCs w:val="21"/>
        </w:rPr>
        <w:t>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default" w:ascii="仿宋" w:hAnsi="仿宋" w:eastAsia="仿宋" w:cs="仿宋"/>
          <w:szCs w:val="21"/>
          <w:lang w:val="en-US" w:eastAsia="zh-CN"/>
        </w:rPr>
      </w:pPr>
      <w:r>
        <w:rPr>
          <w:rFonts w:hint="eastAsia" w:ascii="仿宋" w:hAnsi="仿宋" w:eastAsia="仿宋" w:cs="仿宋"/>
          <w:szCs w:val="21"/>
        </w:rPr>
        <w:t>3、承诺以上响应情况属实</w:t>
      </w:r>
      <w:r>
        <w:rPr>
          <w:rFonts w:hint="eastAsia" w:ascii="仿宋" w:hAnsi="仿宋" w:eastAsia="仿宋" w:cs="仿宋"/>
          <w:szCs w:val="21"/>
          <w:lang w:eastAsia="zh-CN"/>
        </w:rPr>
        <w:t>，</w:t>
      </w:r>
      <w:r>
        <w:rPr>
          <w:rFonts w:hint="eastAsia" w:ascii="仿宋" w:hAnsi="仿宋" w:eastAsia="仿宋" w:cs="仿宋"/>
          <w:szCs w:val="21"/>
          <w:lang w:val="en-US" w:eastAsia="zh-CN"/>
        </w:rPr>
        <w:t>如有虚假响应，同意本项目一票否决。</w:t>
      </w:r>
    </w:p>
    <w:p>
      <w:pPr>
        <w:pStyle w:val="38"/>
        <w:rPr>
          <w:rFonts w:ascii="仿宋" w:hAnsi="仿宋" w:eastAsia="仿宋" w:cs="仿宋"/>
          <w:sz w:val="21"/>
          <w:szCs w:val="21"/>
        </w:rPr>
      </w:pPr>
      <w:r>
        <w:rPr>
          <w:rFonts w:hint="eastAsia" w:ascii="仿宋" w:hAnsi="仿宋" w:eastAsia="仿宋" w:cs="仿宋"/>
          <w:szCs w:val="21"/>
        </w:rPr>
        <w:t>4、</w:t>
      </w:r>
      <w:r>
        <w:rPr>
          <w:rFonts w:hint="eastAsia" w:ascii="仿宋" w:hAnsi="仿宋" w:eastAsia="仿宋" w:cs="仿宋"/>
          <w:sz w:val="21"/>
          <w:szCs w:val="21"/>
        </w:rPr>
        <w:t>本自查表不得擅自删改。</w:t>
      </w:r>
    </w:p>
    <w:p>
      <w:pPr>
        <w:pStyle w:val="38"/>
        <w:ind w:left="0" w:leftChars="0" w:firstLine="0" w:firstLineChars="0"/>
        <w:rPr>
          <w:rFonts w:ascii="仿宋" w:hAnsi="仿宋" w:eastAsia="仿宋" w:cs="仿宋"/>
          <w:sz w:val="21"/>
          <w:szCs w:val="21"/>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1、</w:t>
      </w:r>
      <w:r>
        <w:rPr>
          <w:rFonts w:hint="eastAsia" w:ascii="仿宋" w:hAnsi="仿宋" w:eastAsia="仿宋" w:cs="仿宋"/>
          <w:b/>
          <w:bCs w:val="0"/>
          <w:sz w:val="28"/>
          <w:szCs w:val="28"/>
          <w:lang w:val="en-US" w:eastAsia="zh-CN"/>
        </w:rPr>
        <w:t>服务实施方案（如有）</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（包括但不限于加油服务的管理、对一车一卡进行加油卡绑定、核对车牌的操作过程、加油服务运作流程、加油人员设置，对账查询方式等）</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b/>
          <w:bCs w:val="0"/>
          <w:kern w:val="0"/>
          <w:sz w:val="28"/>
          <w:szCs w:val="28"/>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2、</w:t>
      </w:r>
      <w:r>
        <w:rPr>
          <w:rFonts w:hint="eastAsia" w:ascii="仿宋" w:hAnsi="仿宋" w:eastAsia="仿宋" w:cs="仿宋"/>
          <w:b/>
          <w:bCs w:val="0"/>
          <w:sz w:val="28"/>
          <w:szCs w:val="28"/>
          <w:lang w:val="en-US" w:eastAsia="zh-CN"/>
        </w:rPr>
        <w:t>应急保供方案（如有）</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（包括但不限于针对本项目预测可能出现的问题，确保能在紧急情况下提供</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 xml:space="preserve">优先保障采购人车辆的加油需求所做的应急解决措施等）                         </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10"/>
        <w:rPr>
          <w:rFonts w:hint="eastAsia" w:ascii="仿宋" w:hAnsi="仿宋" w:eastAsia="仿宋" w:cs="仿宋"/>
          <w:color w:val="auto"/>
          <w:kern w:val="2"/>
          <w:sz w:val="21"/>
          <w:szCs w:val="21"/>
          <w:highlight w:val="none"/>
          <w:lang w:val="en-US" w:eastAsia="zh-CN" w:bidi="ar-SA"/>
        </w:rPr>
      </w:pPr>
    </w:p>
    <w:p>
      <w:pPr>
        <w:pStyle w:val="38"/>
        <w:numPr>
          <w:ilvl w:val="0"/>
          <w:numId w:val="0"/>
        </w:numPr>
        <w:ind w:leftChars="3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3、质量控制保障方案（如有）</w:t>
      </w:r>
    </w:p>
    <w:p>
      <w:pPr>
        <w:pStyle w:val="38"/>
        <w:numPr>
          <w:ilvl w:val="0"/>
          <w:numId w:val="0"/>
        </w:numPr>
        <w:ind w:left="1687" w:hanging="1687" w:hangingChars="60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（包括但不限于油品标准化情况，以及保证油品在生产，运输，存储等</w:t>
      </w:r>
    </w:p>
    <w:p>
      <w:pPr>
        <w:pStyle w:val="38"/>
        <w:numPr>
          <w:ilvl w:val="0"/>
          <w:numId w:val="0"/>
        </w:numPr>
        <w:ind w:left="1687" w:hanging="1687" w:hangingChars="60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全过程质量的保障措施等）</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highlight w:val="yellow"/>
          <w:lang w:val="en-US" w:eastAsia="zh-CN"/>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both"/>
        <w:textAlignment w:val="auto"/>
        <w:rPr>
          <w:rFonts w:hint="eastAsia" w:ascii="仿宋" w:hAnsi="仿宋" w:eastAsia="仿宋" w:cs="仿宋"/>
          <w:b/>
          <w:bCs w:val="0"/>
          <w:sz w:val="28"/>
          <w:szCs w:val="28"/>
          <w:highlight w:val="none"/>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4、服务便利性</w:t>
      </w:r>
      <w:r>
        <w:rPr>
          <w:rFonts w:hint="eastAsia" w:ascii="仿宋" w:hAnsi="仿宋" w:eastAsia="仿宋" w:cs="仿宋"/>
          <w:b/>
          <w:bCs w:val="0"/>
          <w:sz w:val="28"/>
          <w:szCs w:val="28"/>
          <w:lang w:val="en-US" w:eastAsia="zh-CN"/>
        </w:rPr>
        <w:t>（如有）</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kern w:val="2"/>
          <w:sz w:val="24"/>
          <w:szCs w:val="24"/>
          <w:highlight w:val="none"/>
          <w:lang w:val="en-US" w:eastAsia="zh-CN" w:bidi="ar-SA"/>
        </w:rPr>
        <w:t>注：格式自拟，须提供相关证明材料</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sz w:val="28"/>
          <w:szCs w:val="28"/>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5、加油扩展性服务</w:t>
      </w:r>
      <w:r>
        <w:rPr>
          <w:rFonts w:hint="eastAsia" w:ascii="仿宋" w:hAnsi="仿宋" w:eastAsia="仿宋" w:cs="仿宋"/>
          <w:b/>
          <w:bCs w:val="0"/>
          <w:sz w:val="28"/>
          <w:szCs w:val="28"/>
          <w:lang w:val="en-US" w:eastAsia="zh-CN"/>
        </w:rPr>
        <w:t>（如有）</w:t>
      </w:r>
    </w:p>
    <w:p>
      <w:pPr>
        <w:pStyle w:val="38"/>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8"/>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深汕中心医院车辆定点加油服务项目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承诺：提供的加油卡能在全国通用。</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color w:val="auto"/>
          <w:kern w:val="2"/>
          <w:sz w:val="21"/>
          <w:szCs w:val="21"/>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6、专属服务</w:t>
      </w:r>
      <w:r>
        <w:rPr>
          <w:rFonts w:hint="eastAsia" w:ascii="仿宋" w:hAnsi="仿宋" w:eastAsia="仿宋" w:cs="仿宋"/>
          <w:b/>
          <w:bCs w:val="0"/>
          <w:sz w:val="28"/>
          <w:szCs w:val="28"/>
          <w:lang w:val="en-US" w:eastAsia="zh-CN"/>
        </w:rPr>
        <w:t>（如有）</w:t>
      </w:r>
    </w:p>
    <w:p>
      <w:pPr>
        <w:pStyle w:val="38"/>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8"/>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深汕中心医院车辆定点加油服务项目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承诺：贵院职工私人车辆凭有效证件享受同样服务（包括价格优惠、售后服务等）</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kern w:val="0"/>
          <w:sz w:val="28"/>
          <w:szCs w:val="28"/>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sz w:val="28"/>
          <w:szCs w:val="28"/>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9611F5-2BFA-4ABA-AB2B-F4BC5DDEE0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7483D05-7E9E-4563-B468-1ADAAD37A69D}"/>
  </w:font>
  <w:font w:name="微软雅黑">
    <w:panose1 w:val="020B0503020204020204"/>
    <w:charset w:val="86"/>
    <w:family w:val="swiss"/>
    <w:pitch w:val="default"/>
    <w:sig w:usb0="80000287" w:usb1="2ACF3C50" w:usb2="00000016" w:usb3="00000000" w:csb0="0004001F" w:csb1="00000000"/>
    <w:embedRegular r:id="rId3" w:fontKey="{652A6FF9-B9E5-4877-A75A-D642DA28F3BA}"/>
  </w:font>
  <w:font w:name="华文中宋">
    <w:altName w:val="宋体"/>
    <w:panose1 w:val="02010600040101010101"/>
    <w:charset w:val="86"/>
    <w:family w:val="auto"/>
    <w:pitch w:val="default"/>
    <w:sig w:usb0="00000000" w:usb1="00000000" w:usb2="00000000" w:usb3="00000000" w:csb0="0004009F" w:csb1="DFD70000"/>
    <w:embedRegular r:id="rId4" w:fontKey="{E2CF9C30-A2BD-49EE-B01C-C86D6131B95A}"/>
  </w:font>
  <w:font w:name="儷宋 Pro">
    <w:altName w:val="宋体"/>
    <w:panose1 w:val="02020300000000000000"/>
    <w:charset w:val="88"/>
    <w:family w:val="auto"/>
    <w:pitch w:val="default"/>
    <w:sig w:usb0="00000000" w:usb1="00000000" w:usb2="00000016" w:usb3="00000000" w:csb0="00100000" w:csb1="00000000"/>
    <w:embedRegular r:id="rId5" w:fontKey="{C5CEBFC1-E917-4042-AF14-A76FCC55623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220BD539"/>
    <w:multiLevelType w:val="singleLevel"/>
    <w:tmpl w:val="220BD539"/>
    <w:lvl w:ilvl="0" w:tentative="0">
      <w:start w:val="1"/>
      <w:numFmt w:val="decimal"/>
      <w:suff w:val="nothing"/>
      <w:lvlText w:val="（%1）"/>
      <w:lvlJc w:val="left"/>
    </w:lvl>
  </w:abstractNum>
  <w:abstractNum w:abstractNumId="2">
    <w:nsid w:val="4AC049ED"/>
    <w:multiLevelType w:val="singleLevel"/>
    <w:tmpl w:val="4AC049E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43931"/>
    <w:rsid w:val="002B06D1"/>
    <w:rsid w:val="002E01C1"/>
    <w:rsid w:val="00351550"/>
    <w:rsid w:val="00352AA2"/>
    <w:rsid w:val="00377076"/>
    <w:rsid w:val="003C40FB"/>
    <w:rsid w:val="004970C9"/>
    <w:rsid w:val="004B5C97"/>
    <w:rsid w:val="004C31BE"/>
    <w:rsid w:val="00557259"/>
    <w:rsid w:val="005F6E80"/>
    <w:rsid w:val="00645991"/>
    <w:rsid w:val="0069744B"/>
    <w:rsid w:val="00AE4E5E"/>
    <w:rsid w:val="00BE32F3"/>
    <w:rsid w:val="00C11035"/>
    <w:rsid w:val="00DD78D3"/>
    <w:rsid w:val="00E571C7"/>
    <w:rsid w:val="00EA6523"/>
    <w:rsid w:val="00EB7E60"/>
    <w:rsid w:val="00EF217B"/>
    <w:rsid w:val="00F66F31"/>
    <w:rsid w:val="010D427B"/>
    <w:rsid w:val="011D2710"/>
    <w:rsid w:val="012515C4"/>
    <w:rsid w:val="012A1CAE"/>
    <w:rsid w:val="0132783D"/>
    <w:rsid w:val="013456BD"/>
    <w:rsid w:val="015D6C7C"/>
    <w:rsid w:val="016D4D19"/>
    <w:rsid w:val="017A0040"/>
    <w:rsid w:val="01871BBE"/>
    <w:rsid w:val="019519E2"/>
    <w:rsid w:val="019D4A36"/>
    <w:rsid w:val="019F33EB"/>
    <w:rsid w:val="01A00C4B"/>
    <w:rsid w:val="01A56261"/>
    <w:rsid w:val="01A7022B"/>
    <w:rsid w:val="01A949D5"/>
    <w:rsid w:val="01AA7D1B"/>
    <w:rsid w:val="01AB5316"/>
    <w:rsid w:val="01B36CD0"/>
    <w:rsid w:val="01BF37C7"/>
    <w:rsid w:val="01C37937"/>
    <w:rsid w:val="01CB0B5A"/>
    <w:rsid w:val="01CB14D4"/>
    <w:rsid w:val="01DA2D9E"/>
    <w:rsid w:val="01E02231"/>
    <w:rsid w:val="01EC3E90"/>
    <w:rsid w:val="01F36FCC"/>
    <w:rsid w:val="01FA6CF6"/>
    <w:rsid w:val="02012CC2"/>
    <w:rsid w:val="022E6257"/>
    <w:rsid w:val="024E4B4B"/>
    <w:rsid w:val="02535CBD"/>
    <w:rsid w:val="0261563C"/>
    <w:rsid w:val="027125E7"/>
    <w:rsid w:val="027F2F56"/>
    <w:rsid w:val="02820350"/>
    <w:rsid w:val="02866093"/>
    <w:rsid w:val="02903272"/>
    <w:rsid w:val="029554EB"/>
    <w:rsid w:val="029877CB"/>
    <w:rsid w:val="02B26E88"/>
    <w:rsid w:val="02BA6838"/>
    <w:rsid w:val="02C1531D"/>
    <w:rsid w:val="02D5369F"/>
    <w:rsid w:val="02E3314E"/>
    <w:rsid w:val="031908E6"/>
    <w:rsid w:val="031A4A2D"/>
    <w:rsid w:val="031D0480"/>
    <w:rsid w:val="0341020B"/>
    <w:rsid w:val="035B7B35"/>
    <w:rsid w:val="03842532"/>
    <w:rsid w:val="03870314"/>
    <w:rsid w:val="038D5B12"/>
    <w:rsid w:val="03901F77"/>
    <w:rsid w:val="03A10CAA"/>
    <w:rsid w:val="03A5079A"/>
    <w:rsid w:val="03A72764"/>
    <w:rsid w:val="03A964DC"/>
    <w:rsid w:val="03AE6494"/>
    <w:rsid w:val="03B44E81"/>
    <w:rsid w:val="03CC06C2"/>
    <w:rsid w:val="03D66BA6"/>
    <w:rsid w:val="03F31506"/>
    <w:rsid w:val="03FB485E"/>
    <w:rsid w:val="04042A2C"/>
    <w:rsid w:val="04114082"/>
    <w:rsid w:val="041727A6"/>
    <w:rsid w:val="04177352"/>
    <w:rsid w:val="041807DF"/>
    <w:rsid w:val="04194CE4"/>
    <w:rsid w:val="04227EBC"/>
    <w:rsid w:val="04254C1F"/>
    <w:rsid w:val="043B4291"/>
    <w:rsid w:val="043D6C25"/>
    <w:rsid w:val="044216AA"/>
    <w:rsid w:val="0442172A"/>
    <w:rsid w:val="04472DF8"/>
    <w:rsid w:val="0455069A"/>
    <w:rsid w:val="04553F6E"/>
    <w:rsid w:val="046B3792"/>
    <w:rsid w:val="046C1CCC"/>
    <w:rsid w:val="047A39D5"/>
    <w:rsid w:val="04854C5A"/>
    <w:rsid w:val="049D5915"/>
    <w:rsid w:val="049F343C"/>
    <w:rsid w:val="04A808CB"/>
    <w:rsid w:val="04AA5D15"/>
    <w:rsid w:val="04B01740"/>
    <w:rsid w:val="04BD1B14"/>
    <w:rsid w:val="04BF3ADE"/>
    <w:rsid w:val="04CE3D21"/>
    <w:rsid w:val="04DA6B4D"/>
    <w:rsid w:val="04E13A54"/>
    <w:rsid w:val="04EA30F5"/>
    <w:rsid w:val="04EB48D3"/>
    <w:rsid w:val="04ED2C67"/>
    <w:rsid w:val="04FA4B16"/>
    <w:rsid w:val="051A79BA"/>
    <w:rsid w:val="0530678A"/>
    <w:rsid w:val="055749B2"/>
    <w:rsid w:val="055929F6"/>
    <w:rsid w:val="056D52E8"/>
    <w:rsid w:val="058663AA"/>
    <w:rsid w:val="058A5E9A"/>
    <w:rsid w:val="058F1340"/>
    <w:rsid w:val="0596483F"/>
    <w:rsid w:val="05976809"/>
    <w:rsid w:val="059C769C"/>
    <w:rsid w:val="05A94B09"/>
    <w:rsid w:val="05B25D00"/>
    <w:rsid w:val="05D97573"/>
    <w:rsid w:val="05DA3605"/>
    <w:rsid w:val="05DE7F94"/>
    <w:rsid w:val="05E0766C"/>
    <w:rsid w:val="05F03B35"/>
    <w:rsid w:val="05F176EB"/>
    <w:rsid w:val="05F45A09"/>
    <w:rsid w:val="06044B6E"/>
    <w:rsid w:val="06175254"/>
    <w:rsid w:val="06227AE0"/>
    <w:rsid w:val="0627193B"/>
    <w:rsid w:val="06320ED0"/>
    <w:rsid w:val="063B7194"/>
    <w:rsid w:val="06415503"/>
    <w:rsid w:val="06474FFE"/>
    <w:rsid w:val="064F0B33"/>
    <w:rsid w:val="065A4DD0"/>
    <w:rsid w:val="065E2D1E"/>
    <w:rsid w:val="06604E4C"/>
    <w:rsid w:val="06654655"/>
    <w:rsid w:val="066761DB"/>
    <w:rsid w:val="06695AAF"/>
    <w:rsid w:val="067601CC"/>
    <w:rsid w:val="06915006"/>
    <w:rsid w:val="069468A4"/>
    <w:rsid w:val="06956ECC"/>
    <w:rsid w:val="069B7C33"/>
    <w:rsid w:val="06A70A91"/>
    <w:rsid w:val="06B141BC"/>
    <w:rsid w:val="06C3238E"/>
    <w:rsid w:val="06D03D80"/>
    <w:rsid w:val="06D80E87"/>
    <w:rsid w:val="06DD649D"/>
    <w:rsid w:val="06E86F68"/>
    <w:rsid w:val="06E93526"/>
    <w:rsid w:val="06F832D7"/>
    <w:rsid w:val="06F85F55"/>
    <w:rsid w:val="070007F9"/>
    <w:rsid w:val="07140111"/>
    <w:rsid w:val="071C5217"/>
    <w:rsid w:val="071D5F97"/>
    <w:rsid w:val="071D689A"/>
    <w:rsid w:val="07230354"/>
    <w:rsid w:val="07245E7A"/>
    <w:rsid w:val="07246A32"/>
    <w:rsid w:val="072B6D2B"/>
    <w:rsid w:val="072D39FC"/>
    <w:rsid w:val="072F792E"/>
    <w:rsid w:val="07375BAD"/>
    <w:rsid w:val="07520C39"/>
    <w:rsid w:val="07612C3D"/>
    <w:rsid w:val="077E37DC"/>
    <w:rsid w:val="077F6D24"/>
    <w:rsid w:val="07967398"/>
    <w:rsid w:val="07B0770E"/>
    <w:rsid w:val="07C21A73"/>
    <w:rsid w:val="07C80E13"/>
    <w:rsid w:val="07C81D7B"/>
    <w:rsid w:val="07DD1901"/>
    <w:rsid w:val="07E01DA1"/>
    <w:rsid w:val="07EA0E72"/>
    <w:rsid w:val="08163A15"/>
    <w:rsid w:val="081F7C9A"/>
    <w:rsid w:val="082A5712"/>
    <w:rsid w:val="08310D23"/>
    <w:rsid w:val="083C7E5C"/>
    <w:rsid w:val="084F212B"/>
    <w:rsid w:val="08511DEB"/>
    <w:rsid w:val="087557F4"/>
    <w:rsid w:val="087D7E42"/>
    <w:rsid w:val="08955281"/>
    <w:rsid w:val="089F7BFD"/>
    <w:rsid w:val="08A2174C"/>
    <w:rsid w:val="08A819EE"/>
    <w:rsid w:val="08F234A7"/>
    <w:rsid w:val="09045F63"/>
    <w:rsid w:val="09092BB3"/>
    <w:rsid w:val="0909688E"/>
    <w:rsid w:val="090B4B94"/>
    <w:rsid w:val="092C393D"/>
    <w:rsid w:val="09320D22"/>
    <w:rsid w:val="093C195F"/>
    <w:rsid w:val="094620D8"/>
    <w:rsid w:val="09532A47"/>
    <w:rsid w:val="09595B66"/>
    <w:rsid w:val="09682A95"/>
    <w:rsid w:val="096E162E"/>
    <w:rsid w:val="097529BD"/>
    <w:rsid w:val="09756B79"/>
    <w:rsid w:val="0978425B"/>
    <w:rsid w:val="098018B6"/>
    <w:rsid w:val="09866978"/>
    <w:rsid w:val="09883D78"/>
    <w:rsid w:val="099472E7"/>
    <w:rsid w:val="0998469B"/>
    <w:rsid w:val="099E4BD4"/>
    <w:rsid w:val="09A32E0B"/>
    <w:rsid w:val="09A45050"/>
    <w:rsid w:val="09C33728"/>
    <w:rsid w:val="09C6172E"/>
    <w:rsid w:val="09CB6A81"/>
    <w:rsid w:val="09CC40BF"/>
    <w:rsid w:val="09D27E0F"/>
    <w:rsid w:val="09D516AE"/>
    <w:rsid w:val="09DE2029"/>
    <w:rsid w:val="09E64735"/>
    <w:rsid w:val="09E65669"/>
    <w:rsid w:val="09F2400E"/>
    <w:rsid w:val="09FB6267"/>
    <w:rsid w:val="09FC06EE"/>
    <w:rsid w:val="0A0C1573"/>
    <w:rsid w:val="0A0F2B6E"/>
    <w:rsid w:val="0A187F18"/>
    <w:rsid w:val="0A1B17B6"/>
    <w:rsid w:val="0A1E7B92"/>
    <w:rsid w:val="0A2604A1"/>
    <w:rsid w:val="0A382368"/>
    <w:rsid w:val="0A3D797F"/>
    <w:rsid w:val="0A481901"/>
    <w:rsid w:val="0A56459C"/>
    <w:rsid w:val="0A5C7260"/>
    <w:rsid w:val="0A687CCA"/>
    <w:rsid w:val="0A695D54"/>
    <w:rsid w:val="0A775C8D"/>
    <w:rsid w:val="0A851326"/>
    <w:rsid w:val="0A8F3F52"/>
    <w:rsid w:val="0AA047FC"/>
    <w:rsid w:val="0AA329B0"/>
    <w:rsid w:val="0AA7129C"/>
    <w:rsid w:val="0AB94B2B"/>
    <w:rsid w:val="0ACE5975"/>
    <w:rsid w:val="0AD14DBB"/>
    <w:rsid w:val="0AD3358C"/>
    <w:rsid w:val="0AE02304"/>
    <w:rsid w:val="0AE67C80"/>
    <w:rsid w:val="0AE95411"/>
    <w:rsid w:val="0AEC2013"/>
    <w:rsid w:val="0AEE2870"/>
    <w:rsid w:val="0AF50259"/>
    <w:rsid w:val="0AF53DB5"/>
    <w:rsid w:val="0AF85654"/>
    <w:rsid w:val="0AFB5144"/>
    <w:rsid w:val="0AFC15E8"/>
    <w:rsid w:val="0B0F4ED0"/>
    <w:rsid w:val="0B116A1F"/>
    <w:rsid w:val="0B124B91"/>
    <w:rsid w:val="0B224DC6"/>
    <w:rsid w:val="0B245807"/>
    <w:rsid w:val="0B4275FD"/>
    <w:rsid w:val="0B505490"/>
    <w:rsid w:val="0B60389D"/>
    <w:rsid w:val="0B6571D3"/>
    <w:rsid w:val="0B6A6FC8"/>
    <w:rsid w:val="0B7274C4"/>
    <w:rsid w:val="0B745622"/>
    <w:rsid w:val="0B7D6235"/>
    <w:rsid w:val="0B8607BC"/>
    <w:rsid w:val="0B882E7B"/>
    <w:rsid w:val="0BA20B87"/>
    <w:rsid w:val="0BC67F78"/>
    <w:rsid w:val="0BD25B76"/>
    <w:rsid w:val="0BDE0CED"/>
    <w:rsid w:val="0BDE2A9B"/>
    <w:rsid w:val="0BDF6813"/>
    <w:rsid w:val="0BE467D4"/>
    <w:rsid w:val="0C057227"/>
    <w:rsid w:val="0C0F534B"/>
    <w:rsid w:val="0C1A743D"/>
    <w:rsid w:val="0C246C30"/>
    <w:rsid w:val="0C355AA8"/>
    <w:rsid w:val="0C37273E"/>
    <w:rsid w:val="0C375060"/>
    <w:rsid w:val="0C405504"/>
    <w:rsid w:val="0C580BFC"/>
    <w:rsid w:val="0C71390F"/>
    <w:rsid w:val="0C756362"/>
    <w:rsid w:val="0C7C23AA"/>
    <w:rsid w:val="0C7E054E"/>
    <w:rsid w:val="0C8830E9"/>
    <w:rsid w:val="0C930BAE"/>
    <w:rsid w:val="0C9F6D19"/>
    <w:rsid w:val="0CA830A9"/>
    <w:rsid w:val="0CB67574"/>
    <w:rsid w:val="0CC267E6"/>
    <w:rsid w:val="0CC51EAD"/>
    <w:rsid w:val="0CC872A8"/>
    <w:rsid w:val="0CDB6FDB"/>
    <w:rsid w:val="0CE659DE"/>
    <w:rsid w:val="0CFF0F1B"/>
    <w:rsid w:val="0D1150F2"/>
    <w:rsid w:val="0D117478"/>
    <w:rsid w:val="0D1C7D1F"/>
    <w:rsid w:val="0D1F590A"/>
    <w:rsid w:val="0D3342DC"/>
    <w:rsid w:val="0D3928BE"/>
    <w:rsid w:val="0D447276"/>
    <w:rsid w:val="0D466B4A"/>
    <w:rsid w:val="0D4903E8"/>
    <w:rsid w:val="0D4A4AC2"/>
    <w:rsid w:val="0D4C1C87"/>
    <w:rsid w:val="0D51729D"/>
    <w:rsid w:val="0D5D4F39"/>
    <w:rsid w:val="0D605D6D"/>
    <w:rsid w:val="0D63594E"/>
    <w:rsid w:val="0D643474"/>
    <w:rsid w:val="0D674D12"/>
    <w:rsid w:val="0D740A27"/>
    <w:rsid w:val="0D7C256C"/>
    <w:rsid w:val="0D8B180E"/>
    <w:rsid w:val="0D8D76FC"/>
    <w:rsid w:val="0D9A6E96"/>
    <w:rsid w:val="0DA047C1"/>
    <w:rsid w:val="0DA72454"/>
    <w:rsid w:val="0DC064DE"/>
    <w:rsid w:val="0DC91529"/>
    <w:rsid w:val="0DD26630"/>
    <w:rsid w:val="0DD759F4"/>
    <w:rsid w:val="0DF026E6"/>
    <w:rsid w:val="0E26072A"/>
    <w:rsid w:val="0E3B16EB"/>
    <w:rsid w:val="0E3E1F17"/>
    <w:rsid w:val="0E480BC8"/>
    <w:rsid w:val="0E576B35"/>
    <w:rsid w:val="0E5C041E"/>
    <w:rsid w:val="0E73334B"/>
    <w:rsid w:val="0E7911EE"/>
    <w:rsid w:val="0E896B75"/>
    <w:rsid w:val="0EA0228A"/>
    <w:rsid w:val="0EA537AD"/>
    <w:rsid w:val="0EA55AF2"/>
    <w:rsid w:val="0EAF4BC3"/>
    <w:rsid w:val="0EBA17AC"/>
    <w:rsid w:val="0EC115B0"/>
    <w:rsid w:val="0EC73CBB"/>
    <w:rsid w:val="0ECA37AB"/>
    <w:rsid w:val="0ECA4B48"/>
    <w:rsid w:val="0ECC7523"/>
    <w:rsid w:val="0ED21F60"/>
    <w:rsid w:val="0EE20AF5"/>
    <w:rsid w:val="0EEA1757"/>
    <w:rsid w:val="0EF56BA2"/>
    <w:rsid w:val="0F060D61"/>
    <w:rsid w:val="0F0A3BA7"/>
    <w:rsid w:val="0F111EEE"/>
    <w:rsid w:val="0F20466E"/>
    <w:rsid w:val="0F312AB7"/>
    <w:rsid w:val="0F39623B"/>
    <w:rsid w:val="0F684F69"/>
    <w:rsid w:val="0F7D081D"/>
    <w:rsid w:val="0F7F45C1"/>
    <w:rsid w:val="0F824086"/>
    <w:rsid w:val="0F84395A"/>
    <w:rsid w:val="0F8A6A96"/>
    <w:rsid w:val="0F8C6CB2"/>
    <w:rsid w:val="0FAE09D7"/>
    <w:rsid w:val="0FD333AD"/>
    <w:rsid w:val="0FDD306A"/>
    <w:rsid w:val="0FE402FD"/>
    <w:rsid w:val="0FE64614"/>
    <w:rsid w:val="0FE935C2"/>
    <w:rsid w:val="0FF64060"/>
    <w:rsid w:val="0FF92CE7"/>
    <w:rsid w:val="0FFA1E6E"/>
    <w:rsid w:val="0FFC7994"/>
    <w:rsid w:val="0FFF1232"/>
    <w:rsid w:val="0FFF4F27"/>
    <w:rsid w:val="10030D22"/>
    <w:rsid w:val="10086339"/>
    <w:rsid w:val="101A0FF9"/>
    <w:rsid w:val="101C1DE4"/>
    <w:rsid w:val="101F3682"/>
    <w:rsid w:val="1025513D"/>
    <w:rsid w:val="1028542E"/>
    <w:rsid w:val="102F63B0"/>
    <w:rsid w:val="103233B6"/>
    <w:rsid w:val="104220FC"/>
    <w:rsid w:val="10431903"/>
    <w:rsid w:val="10516C6D"/>
    <w:rsid w:val="10533619"/>
    <w:rsid w:val="1060794F"/>
    <w:rsid w:val="106418F5"/>
    <w:rsid w:val="106474BB"/>
    <w:rsid w:val="10713A54"/>
    <w:rsid w:val="1071735E"/>
    <w:rsid w:val="107E484D"/>
    <w:rsid w:val="108A1444"/>
    <w:rsid w:val="108D4A90"/>
    <w:rsid w:val="10AA2913"/>
    <w:rsid w:val="10B169D0"/>
    <w:rsid w:val="10B244F7"/>
    <w:rsid w:val="10D601E5"/>
    <w:rsid w:val="10D80401"/>
    <w:rsid w:val="10DE3B20"/>
    <w:rsid w:val="10DF7692"/>
    <w:rsid w:val="10E072B6"/>
    <w:rsid w:val="10F60887"/>
    <w:rsid w:val="110C1E59"/>
    <w:rsid w:val="110D7FF0"/>
    <w:rsid w:val="1111746F"/>
    <w:rsid w:val="111807FE"/>
    <w:rsid w:val="111A52F1"/>
    <w:rsid w:val="111E1B8C"/>
    <w:rsid w:val="11205904"/>
    <w:rsid w:val="11252F1A"/>
    <w:rsid w:val="112F4F5E"/>
    <w:rsid w:val="113104DE"/>
    <w:rsid w:val="114C71BE"/>
    <w:rsid w:val="11511F61"/>
    <w:rsid w:val="11547A7F"/>
    <w:rsid w:val="115B32E4"/>
    <w:rsid w:val="11743FE9"/>
    <w:rsid w:val="117D7F3D"/>
    <w:rsid w:val="119B4D4D"/>
    <w:rsid w:val="11A65AC9"/>
    <w:rsid w:val="11B903EC"/>
    <w:rsid w:val="11BE0516"/>
    <w:rsid w:val="11C12C43"/>
    <w:rsid w:val="11C224D4"/>
    <w:rsid w:val="11C95F9C"/>
    <w:rsid w:val="11CE73AE"/>
    <w:rsid w:val="11E4445B"/>
    <w:rsid w:val="11E608FC"/>
    <w:rsid w:val="11F272A1"/>
    <w:rsid w:val="11F8062F"/>
    <w:rsid w:val="120633E6"/>
    <w:rsid w:val="12072620"/>
    <w:rsid w:val="120E1C01"/>
    <w:rsid w:val="121A714F"/>
    <w:rsid w:val="124710FE"/>
    <w:rsid w:val="12485112"/>
    <w:rsid w:val="124A70DD"/>
    <w:rsid w:val="12502219"/>
    <w:rsid w:val="12555A81"/>
    <w:rsid w:val="125C13A6"/>
    <w:rsid w:val="12661A3D"/>
    <w:rsid w:val="12790D45"/>
    <w:rsid w:val="127A7296"/>
    <w:rsid w:val="12994089"/>
    <w:rsid w:val="12A762DD"/>
    <w:rsid w:val="12A83E03"/>
    <w:rsid w:val="12AD766B"/>
    <w:rsid w:val="12B465DC"/>
    <w:rsid w:val="12BD2877"/>
    <w:rsid w:val="12C14EC5"/>
    <w:rsid w:val="12D90460"/>
    <w:rsid w:val="12E14DFB"/>
    <w:rsid w:val="12E84200"/>
    <w:rsid w:val="12EF3EDA"/>
    <w:rsid w:val="12FC5EFD"/>
    <w:rsid w:val="13037AFF"/>
    <w:rsid w:val="13080198"/>
    <w:rsid w:val="131A1EB8"/>
    <w:rsid w:val="131C5581"/>
    <w:rsid w:val="131E2317"/>
    <w:rsid w:val="131E6CD1"/>
    <w:rsid w:val="13237F17"/>
    <w:rsid w:val="13561AB1"/>
    <w:rsid w:val="135B2C24"/>
    <w:rsid w:val="135D699C"/>
    <w:rsid w:val="1360023A"/>
    <w:rsid w:val="136724D4"/>
    <w:rsid w:val="137B212C"/>
    <w:rsid w:val="137B71F5"/>
    <w:rsid w:val="138045A5"/>
    <w:rsid w:val="13835A87"/>
    <w:rsid w:val="13845D50"/>
    <w:rsid w:val="138E124B"/>
    <w:rsid w:val="138F0872"/>
    <w:rsid w:val="139879D4"/>
    <w:rsid w:val="13AE5449"/>
    <w:rsid w:val="13D25245"/>
    <w:rsid w:val="13F25F1E"/>
    <w:rsid w:val="13F56BD4"/>
    <w:rsid w:val="13F84916"/>
    <w:rsid w:val="140A109B"/>
    <w:rsid w:val="140A47D1"/>
    <w:rsid w:val="14142AEA"/>
    <w:rsid w:val="143771ED"/>
    <w:rsid w:val="143911CB"/>
    <w:rsid w:val="14424FAF"/>
    <w:rsid w:val="14425B91"/>
    <w:rsid w:val="14463CEB"/>
    <w:rsid w:val="144D4C62"/>
    <w:rsid w:val="145F3C91"/>
    <w:rsid w:val="14636F44"/>
    <w:rsid w:val="1469652F"/>
    <w:rsid w:val="146B158C"/>
    <w:rsid w:val="14706BA3"/>
    <w:rsid w:val="14795A57"/>
    <w:rsid w:val="14891A12"/>
    <w:rsid w:val="148F7029"/>
    <w:rsid w:val="14B416E5"/>
    <w:rsid w:val="14BC7869"/>
    <w:rsid w:val="14BD1DC5"/>
    <w:rsid w:val="14DE58BA"/>
    <w:rsid w:val="14E26D94"/>
    <w:rsid w:val="14F47714"/>
    <w:rsid w:val="14FC21E4"/>
    <w:rsid w:val="150115A9"/>
    <w:rsid w:val="150E45E7"/>
    <w:rsid w:val="151632A6"/>
    <w:rsid w:val="1517701E"/>
    <w:rsid w:val="15183F8A"/>
    <w:rsid w:val="152B7943"/>
    <w:rsid w:val="15316332"/>
    <w:rsid w:val="15351D62"/>
    <w:rsid w:val="15360A41"/>
    <w:rsid w:val="154455E6"/>
    <w:rsid w:val="15466355"/>
    <w:rsid w:val="154D2A40"/>
    <w:rsid w:val="154E4E4D"/>
    <w:rsid w:val="15576FE4"/>
    <w:rsid w:val="15671D54"/>
    <w:rsid w:val="157924A9"/>
    <w:rsid w:val="1599334B"/>
    <w:rsid w:val="15B72137"/>
    <w:rsid w:val="15BF18E5"/>
    <w:rsid w:val="15C745A0"/>
    <w:rsid w:val="15CE43FE"/>
    <w:rsid w:val="15D05B4B"/>
    <w:rsid w:val="15E7531B"/>
    <w:rsid w:val="15ED1FDD"/>
    <w:rsid w:val="15ED7C1A"/>
    <w:rsid w:val="15F05EED"/>
    <w:rsid w:val="15FD7FC2"/>
    <w:rsid w:val="16000332"/>
    <w:rsid w:val="1602382A"/>
    <w:rsid w:val="160C6ECE"/>
    <w:rsid w:val="160F7CF5"/>
    <w:rsid w:val="161651B5"/>
    <w:rsid w:val="161A6DC6"/>
    <w:rsid w:val="161B6FCD"/>
    <w:rsid w:val="1620179D"/>
    <w:rsid w:val="16315EBE"/>
    <w:rsid w:val="163D2AB4"/>
    <w:rsid w:val="16404E7B"/>
    <w:rsid w:val="16504596"/>
    <w:rsid w:val="16610D1A"/>
    <w:rsid w:val="166E62D3"/>
    <w:rsid w:val="166E6E23"/>
    <w:rsid w:val="167B2CE0"/>
    <w:rsid w:val="167D7355"/>
    <w:rsid w:val="167F4E7B"/>
    <w:rsid w:val="16866209"/>
    <w:rsid w:val="168A22DD"/>
    <w:rsid w:val="16922FCB"/>
    <w:rsid w:val="169A5D84"/>
    <w:rsid w:val="16A8154B"/>
    <w:rsid w:val="16AD19E8"/>
    <w:rsid w:val="16B234A2"/>
    <w:rsid w:val="16B96A57"/>
    <w:rsid w:val="16CB00C0"/>
    <w:rsid w:val="16D301F3"/>
    <w:rsid w:val="16E01DBD"/>
    <w:rsid w:val="16E64EFA"/>
    <w:rsid w:val="16E67F69"/>
    <w:rsid w:val="16EA2C3C"/>
    <w:rsid w:val="16EA49EA"/>
    <w:rsid w:val="16F5040B"/>
    <w:rsid w:val="1703785A"/>
    <w:rsid w:val="170434D7"/>
    <w:rsid w:val="17105CC1"/>
    <w:rsid w:val="17167ACC"/>
    <w:rsid w:val="17295C97"/>
    <w:rsid w:val="1734037F"/>
    <w:rsid w:val="1735378C"/>
    <w:rsid w:val="174A5143"/>
    <w:rsid w:val="174E46EE"/>
    <w:rsid w:val="17514A69"/>
    <w:rsid w:val="17614581"/>
    <w:rsid w:val="176D2058"/>
    <w:rsid w:val="17703150"/>
    <w:rsid w:val="17771FF6"/>
    <w:rsid w:val="179761F4"/>
    <w:rsid w:val="179A1849"/>
    <w:rsid w:val="17B80644"/>
    <w:rsid w:val="17B9260F"/>
    <w:rsid w:val="17BE5353"/>
    <w:rsid w:val="17E70F2A"/>
    <w:rsid w:val="17FA434C"/>
    <w:rsid w:val="180C6E5D"/>
    <w:rsid w:val="18117D55"/>
    <w:rsid w:val="18251A52"/>
    <w:rsid w:val="182757CA"/>
    <w:rsid w:val="182B64CD"/>
    <w:rsid w:val="182E0907"/>
    <w:rsid w:val="18366763"/>
    <w:rsid w:val="184A3267"/>
    <w:rsid w:val="184C3483"/>
    <w:rsid w:val="18544624"/>
    <w:rsid w:val="186434A2"/>
    <w:rsid w:val="186802BC"/>
    <w:rsid w:val="18680E89"/>
    <w:rsid w:val="186B3909"/>
    <w:rsid w:val="186E164B"/>
    <w:rsid w:val="18787C11"/>
    <w:rsid w:val="187A7FF0"/>
    <w:rsid w:val="187F4775"/>
    <w:rsid w:val="187F5606"/>
    <w:rsid w:val="18923305"/>
    <w:rsid w:val="189501D2"/>
    <w:rsid w:val="18AE37F5"/>
    <w:rsid w:val="18B2778A"/>
    <w:rsid w:val="18B43502"/>
    <w:rsid w:val="18D23988"/>
    <w:rsid w:val="18DE057F"/>
    <w:rsid w:val="18EF5A63"/>
    <w:rsid w:val="18F20B2D"/>
    <w:rsid w:val="191B6753"/>
    <w:rsid w:val="19207C3F"/>
    <w:rsid w:val="19255BB9"/>
    <w:rsid w:val="193006AE"/>
    <w:rsid w:val="19394EDE"/>
    <w:rsid w:val="193D1546"/>
    <w:rsid w:val="194501AE"/>
    <w:rsid w:val="19461C80"/>
    <w:rsid w:val="19461F1D"/>
    <w:rsid w:val="19510EDB"/>
    <w:rsid w:val="19630A84"/>
    <w:rsid w:val="19637223"/>
    <w:rsid w:val="197D7D98"/>
    <w:rsid w:val="198C1F40"/>
    <w:rsid w:val="199D135E"/>
    <w:rsid w:val="19AA66B3"/>
    <w:rsid w:val="19AF7825"/>
    <w:rsid w:val="19B4308D"/>
    <w:rsid w:val="19B577A7"/>
    <w:rsid w:val="19E219A9"/>
    <w:rsid w:val="19E349A4"/>
    <w:rsid w:val="19E51499"/>
    <w:rsid w:val="19F57D72"/>
    <w:rsid w:val="19FB6838"/>
    <w:rsid w:val="19FD0C83"/>
    <w:rsid w:val="1A073B05"/>
    <w:rsid w:val="1A147FD0"/>
    <w:rsid w:val="1A1E49AB"/>
    <w:rsid w:val="1A204BC7"/>
    <w:rsid w:val="1A265F9B"/>
    <w:rsid w:val="1A294CEC"/>
    <w:rsid w:val="1A2B427B"/>
    <w:rsid w:val="1A345F7C"/>
    <w:rsid w:val="1A3E3269"/>
    <w:rsid w:val="1A5463ED"/>
    <w:rsid w:val="1A606D71"/>
    <w:rsid w:val="1A622AE9"/>
    <w:rsid w:val="1A687E40"/>
    <w:rsid w:val="1A7171D0"/>
    <w:rsid w:val="1A742769"/>
    <w:rsid w:val="1A8D034A"/>
    <w:rsid w:val="1A951111"/>
    <w:rsid w:val="1A9A6727"/>
    <w:rsid w:val="1A9B0BEB"/>
    <w:rsid w:val="1AAB15BB"/>
    <w:rsid w:val="1AB7360D"/>
    <w:rsid w:val="1AC51736"/>
    <w:rsid w:val="1AD31C39"/>
    <w:rsid w:val="1AD819F7"/>
    <w:rsid w:val="1AE1340A"/>
    <w:rsid w:val="1AE16D0C"/>
    <w:rsid w:val="1AEA675D"/>
    <w:rsid w:val="1AF91E57"/>
    <w:rsid w:val="1B0D62A9"/>
    <w:rsid w:val="1B0E2C71"/>
    <w:rsid w:val="1B2236D1"/>
    <w:rsid w:val="1B283033"/>
    <w:rsid w:val="1B3B25E2"/>
    <w:rsid w:val="1B3F107D"/>
    <w:rsid w:val="1B544B28"/>
    <w:rsid w:val="1B666609"/>
    <w:rsid w:val="1B721452"/>
    <w:rsid w:val="1BAF6202"/>
    <w:rsid w:val="1BB57C9A"/>
    <w:rsid w:val="1BBB0703"/>
    <w:rsid w:val="1BE51C24"/>
    <w:rsid w:val="1BE867F9"/>
    <w:rsid w:val="1BEC4D61"/>
    <w:rsid w:val="1BFC2ACA"/>
    <w:rsid w:val="1C0F6CA1"/>
    <w:rsid w:val="1C1806F6"/>
    <w:rsid w:val="1C25614E"/>
    <w:rsid w:val="1C3004E5"/>
    <w:rsid w:val="1C366EB6"/>
    <w:rsid w:val="1C3B5CE8"/>
    <w:rsid w:val="1C422BD3"/>
    <w:rsid w:val="1C444B9D"/>
    <w:rsid w:val="1C5823F6"/>
    <w:rsid w:val="1C5841A4"/>
    <w:rsid w:val="1C6C2B3F"/>
    <w:rsid w:val="1C735482"/>
    <w:rsid w:val="1C8808D7"/>
    <w:rsid w:val="1C897E65"/>
    <w:rsid w:val="1C96496D"/>
    <w:rsid w:val="1C9D24FF"/>
    <w:rsid w:val="1CA556C4"/>
    <w:rsid w:val="1CB33AD0"/>
    <w:rsid w:val="1CCB2355"/>
    <w:rsid w:val="1CCE26B8"/>
    <w:rsid w:val="1CD008A6"/>
    <w:rsid w:val="1CD83537"/>
    <w:rsid w:val="1CDD0B4D"/>
    <w:rsid w:val="1CE3683B"/>
    <w:rsid w:val="1CE90FCA"/>
    <w:rsid w:val="1CEA6437"/>
    <w:rsid w:val="1CF75BA0"/>
    <w:rsid w:val="1CF77E61"/>
    <w:rsid w:val="1CF87E33"/>
    <w:rsid w:val="1CFC7225"/>
    <w:rsid w:val="1D143445"/>
    <w:rsid w:val="1D350989"/>
    <w:rsid w:val="1D383206"/>
    <w:rsid w:val="1D3C1D18"/>
    <w:rsid w:val="1D3D5587"/>
    <w:rsid w:val="1D3F35B6"/>
    <w:rsid w:val="1D505F15"/>
    <w:rsid w:val="1D7D43B4"/>
    <w:rsid w:val="1D7E2B06"/>
    <w:rsid w:val="1D7E50DB"/>
    <w:rsid w:val="1D816E18"/>
    <w:rsid w:val="1D943902"/>
    <w:rsid w:val="1D9456B0"/>
    <w:rsid w:val="1DA5166B"/>
    <w:rsid w:val="1DAD6772"/>
    <w:rsid w:val="1DB35D65"/>
    <w:rsid w:val="1DBD59E6"/>
    <w:rsid w:val="1DCB4E4A"/>
    <w:rsid w:val="1DCE65F7"/>
    <w:rsid w:val="1DD962FB"/>
    <w:rsid w:val="1DDE692B"/>
    <w:rsid w:val="1DE57CB9"/>
    <w:rsid w:val="1DF0665E"/>
    <w:rsid w:val="1DF20628"/>
    <w:rsid w:val="1DF41552"/>
    <w:rsid w:val="1DF76CB6"/>
    <w:rsid w:val="1DFE6FCD"/>
    <w:rsid w:val="1E200CF1"/>
    <w:rsid w:val="1E2347C0"/>
    <w:rsid w:val="1E2C3B3A"/>
    <w:rsid w:val="1E5002DC"/>
    <w:rsid w:val="1E541A9D"/>
    <w:rsid w:val="1E592455"/>
    <w:rsid w:val="1E5C4CAD"/>
    <w:rsid w:val="1E605592"/>
    <w:rsid w:val="1E6C0104"/>
    <w:rsid w:val="1E700A87"/>
    <w:rsid w:val="1E7159F1"/>
    <w:rsid w:val="1E767F60"/>
    <w:rsid w:val="1E8066E5"/>
    <w:rsid w:val="1E995D34"/>
    <w:rsid w:val="1E9A790E"/>
    <w:rsid w:val="1EA54868"/>
    <w:rsid w:val="1EA5569B"/>
    <w:rsid w:val="1EAC4C7B"/>
    <w:rsid w:val="1EAE09F3"/>
    <w:rsid w:val="1EC11202"/>
    <w:rsid w:val="1ED241B0"/>
    <w:rsid w:val="1EDA3596"/>
    <w:rsid w:val="1EDB10BC"/>
    <w:rsid w:val="1EDF6DFF"/>
    <w:rsid w:val="1EE25AC2"/>
    <w:rsid w:val="1EE610FD"/>
    <w:rsid w:val="1EEC12AE"/>
    <w:rsid w:val="1EFC5F4A"/>
    <w:rsid w:val="1F0C74C8"/>
    <w:rsid w:val="1F1545CE"/>
    <w:rsid w:val="1F176A48"/>
    <w:rsid w:val="1F1B39C5"/>
    <w:rsid w:val="1F1D16D5"/>
    <w:rsid w:val="1F3003F0"/>
    <w:rsid w:val="1F4D2425"/>
    <w:rsid w:val="1F6747C1"/>
    <w:rsid w:val="1F7A08D5"/>
    <w:rsid w:val="1F7C464D"/>
    <w:rsid w:val="1F94071F"/>
    <w:rsid w:val="1FAD7C6E"/>
    <w:rsid w:val="1FB40652"/>
    <w:rsid w:val="1FC23AE2"/>
    <w:rsid w:val="1FDE70B6"/>
    <w:rsid w:val="1FE3647B"/>
    <w:rsid w:val="1FEA7809"/>
    <w:rsid w:val="1FF22B46"/>
    <w:rsid w:val="1FFF3743"/>
    <w:rsid w:val="2002269C"/>
    <w:rsid w:val="201007A7"/>
    <w:rsid w:val="20122B01"/>
    <w:rsid w:val="201900EE"/>
    <w:rsid w:val="2020332C"/>
    <w:rsid w:val="202F346E"/>
    <w:rsid w:val="2036264E"/>
    <w:rsid w:val="203B0065"/>
    <w:rsid w:val="203C3DDD"/>
    <w:rsid w:val="204213F3"/>
    <w:rsid w:val="20441F46"/>
    <w:rsid w:val="204A6C1A"/>
    <w:rsid w:val="204B664A"/>
    <w:rsid w:val="204C04C4"/>
    <w:rsid w:val="205B1129"/>
    <w:rsid w:val="205E54B0"/>
    <w:rsid w:val="206122BB"/>
    <w:rsid w:val="2073620B"/>
    <w:rsid w:val="20832045"/>
    <w:rsid w:val="208732AA"/>
    <w:rsid w:val="209D355C"/>
    <w:rsid w:val="20AA09DE"/>
    <w:rsid w:val="20B41BC5"/>
    <w:rsid w:val="20B46606"/>
    <w:rsid w:val="20BE2A44"/>
    <w:rsid w:val="20C73087"/>
    <w:rsid w:val="20CE712B"/>
    <w:rsid w:val="20E262D1"/>
    <w:rsid w:val="20E266AB"/>
    <w:rsid w:val="20F546B7"/>
    <w:rsid w:val="20FD356C"/>
    <w:rsid w:val="210668C5"/>
    <w:rsid w:val="21097ACA"/>
    <w:rsid w:val="210C37AF"/>
    <w:rsid w:val="21262AC3"/>
    <w:rsid w:val="212A5A00"/>
    <w:rsid w:val="213351E0"/>
    <w:rsid w:val="2138149F"/>
    <w:rsid w:val="21410299"/>
    <w:rsid w:val="21486EDD"/>
    <w:rsid w:val="21574CF7"/>
    <w:rsid w:val="215A451A"/>
    <w:rsid w:val="215B5A99"/>
    <w:rsid w:val="216655B5"/>
    <w:rsid w:val="21667363"/>
    <w:rsid w:val="216755D4"/>
    <w:rsid w:val="217B0F40"/>
    <w:rsid w:val="21904C3A"/>
    <w:rsid w:val="21A34113"/>
    <w:rsid w:val="21B53E47"/>
    <w:rsid w:val="21C1581E"/>
    <w:rsid w:val="21C44C50"/>
    <w:rsid w:val="21CB5418"/>
    <w:rsid w:val="21D4251F"/>
    <w:rsid w:val="21D56297"/>
    <w:rsid w:val="21D818E3"/>
    <w:rsid w:val="21DC5877"/>
    <w:rsid w:val="21E8421C"/>
    <w:rsid w:val="21F506E7"/>
    <w:rsid w:val="21F540A6"/>
    <w:rsid w:val="21F7445F"/>
    <w:rsid w:val="21FC1A76"/>
    <w:rsid w:val="2201585E"/>
    <w:rsid w:val="22032E04"/>
    <w:rsid w:val="220C32E1"/>
    <w:rsid w:val="22205764"/>
    <w:rsid w:val="22280ABD"/>
    <w:rsid w:val="222A65E3"/>
    <w:rsid w:val="222A6F66"/>
    <w:rsid w:val="222D1C2F"/>
    <w:rsid w:val="22345B5B"/>
    <w:rsid w:val="223C6316"/>
    <w:rsid w:val="22405E06"/>
    <w:rsid w:val="224A05AA"/>
    <w:rsid w:val="225047E7"/>
    <w:rsid w:val="22531561"/>
    <w:rsid w:val="22564683"/>
    <w:rsid w:val="22617B2B"/>
    <w:rsid w:val="226B6E78"/>
    <w:rsid w:val="228E1F89"/>
    <w:rsid w:val="229257DC"/>
    <w:rsid w:val="22B20386"/>
    <w:rsid w:val="22BB36DF"/>
    <w:rsid w:val="22BB723B"/>
    <w:rsid w:val="22BE6D2B"/>
    <w:rsid w:val="22C407E5"/>
    <w:rsid w:val="22CD5900"/>
    <w:rsid w:val="22DE60F6"/>
    <w:rsid w:val="22E06CA1"/>
    <w:rsid w:val="22E5075C"/>
    <w:rsid w:val="22E570DC"/>
    <w:rsid w:val="22E76282"/>
    <w:rsid w:val="22F13CDF"/>
    <w:rsid w:val="22F56FFE"/>
    <w:rsid w:val="22F73A02"/>
    <w:rsid w:val="22F866E1"/>
    <w:rsid w:val="230E380E"/>
    <w:rsid w:val="230F62D3"/>
    <w:rsid w:val="231B417D"/>
    <w:rsid w:val="231F6004"/>
    <w:rsid w:val="2332360F"/>
    <w:rsid w:val="23492A98"/>
    <w:rsid w:val="235F4E4A"/>
    <w:rsid w:val="236245E6"/>
    <w:rsid w:val="236B2C2C"/>
    <w:rsid w:val="23766CD0"/>
    <w:rsid w:val="2378337E"/>
    <w:rsid w:val="238A5D26"/>
    <w:rsid w:val="2390198C"/>
    <w:rsid w:val="23A44173"/>
    <w:rsid w:val="23A91789"/>
    <w:rsid w:val="23B0596E"/>
    <w:rsid w:val="23BA4245"/>
    <w:rsid w:val="23C10881"/>
    <w:rsid w:val="23E26A49"/>
    <w:rsid w:val="23F7340C"/>
    <w:rsid w:val="23FF077D"/>
    <w:rsid w:val="240510B5"/>
    <w:rsid w:val="241C1D93"/>
    <w:rsid w:val="243614F6"/>
    <w:rsid w:val="24376D95"/>
    <w:rsid w:val="243C25FD"/>
    <w:rsid w:val="244514B2"/>
    <w:rsid w:val="244A2F6C"/>
    <w:rsid w:val="244D0366"/>
    <w:rsid w:val="244D7080"/>
    <w:rsid w:val="24547947"/>
    <w:rsid w:val="245B6F27"/>
    <w:rsid w:val="24607A68"/>
    <w:rsid w:val="24637B8A"/>
    <w:rsid w:val="246F4781"/>
    <w:rsid w:val="24711EDA"/>
    <w:rsid w:val="24853925"/>
    <w:rsid w:val="249250D1"/>
    <w:rsid w:val="24976F4B"/>
    <w:rsid w:val="24B258E3"/>
    <w:rsid w:val="24B75831"/>
    <w:rsid w:val="24B76D91"/>
    <w:rsid w:val="24BB1C98"/>
    <w:rsid w:val="24C34ACD"/>
    <w:rsid w:val="24C745BD"/>
    <w:rsid w:val="24E2171E"/>
    <w:rsid w:val="24E60077"/>
    <w:rsid w:val="250273A3"/>
    <w:rsid w:val="251B66B7"/>
    <w:rsid w:val="25315EDA"/>
    <w:rsid w:val="2536529E"/>
    <w:rsid w:val="25387660"/>
    <w:rsid w:val="25412F98"/>
    <w:rsid w:val="25453733"/>
    <w:rsid w:val="25565941"/>
    <w:rsid w:val="255A0137"/>
    <w:rsid w:val="256805C6"/>
    <w:rsid w:val="25692F2B"/>
    <w:rsid w:val="256E4A38"/>
    <w:rsid w:val="25793DF4"/>
    <w:rsid w:val="25800BCC"/>
    <w:rsid w:val="25891872"/>
    <w:rsid w:val="258D59F7"/>
    <w:rsid w:val="25902C01"/>
    <w:rsid w:val="259163E1"/>
    <w:rsid w:val="25B032A3"/>
    <w:rsid w:val="25BD32CA"/>
    <w:rsid w:val="25C32136"/>
    <w:rsid w:val="25CE3729"/>
    <w:rsid w:val="25D80104"/>
    <w:rsid w:val="25DA1FF8"/>
    <w:rsid w:val="25E908F6"/>
    <w:rsid w:val="25ED1E01"/>
    <w:rsid w:val="25F128D7"/>
    <w:rsid w:val="25FB1F49"/>
    <w:rsid w:val="25FD4869"/>
    <w:rsid w:val="260158AC"/>
    <w:rsid w:val="26086C3B"/>
    <w:rsid w:val="261C6242"/>
    <w:rsid w:val="261D32DF"/>
    <w:rsid w:val="262014A0"/>
    <w:rsid w:val="26215885"/>
    <w:rsid w:val="263C68E5"/>
    <w:rsid w:val="263E265D"/>
    <w:rsid w:val="26463E50"/>
    <w:rsid w:val="264D28A0"/>
    <w:rsid w:val="265F25D3"/>
    <w:rsid w:val="26707BF5"/>
    <w:rsid w:val="26874699"/>
    <w:rsid w:val="268B33C8"/>
    <w:rsid w:val="268D5392"/>
    <w:rsid w:val="268F4C66"/>
    <w:rsid w:val="26950C42"/>
    <w:rsid w:val="26A214B2"/>
    <w:rsid w:val="26A56238"/>
    <w:rsid w:val="26C07516"/>
    <w:rsid w:val="26C4140B"/>
    <w:rsid w:val="26C54B2C"/>
    <w:rsid w:val="26CE5E0A"/>
    <w:rsid w:val="26D55CDD"/>
    <w:rsid w:val="26E34FB2"/>
    <w:rsid w:val="26E36D60"/>
    <w:rsid w:val="27124CBB"/>
    <w:rsid w:val="27154251"/>
    <w:rsid w:val="271F2FFA"/>
    <w:rsid w:val="27247AA4"/>
    <w:rsid w:val="272A0E33"/>
    <w:rsid w:val="272F01F7"/>
    <w:rsid w:val="273B6B9C"/>
    <w:rsid w:val="273D46C2"/>
    <w:rsid w:val="27483067"/>
    <w:rsid w:val="275D2FB6"/>
    <w:rsid w:val="276500BD"/>
    <w:rsid w:val="27725822"/>
    <w:rsid w:val="27752695"/>
    <w:rsid w:val="27802801"/>
    <w:rsid w:val="279F494A"/>
    <w:rsid w:val="27A730C0"/>
    <w:rsid w:val="27AB7A4E"/>
    <w:rsid w:val="27AE0550"/>
    <w:rsid w:val="27B801ED"/>
    <w:rsid w:val="27B829E6"/>
    <w:rsid w:val="27CA188D"/>
    <w:rsid w:val="27CE31E8"/>
    <w:rsid w:val="27D35027"/>
    <w:rsid w:val="27D52B4D"/>
    <w:rsid w:val="27D8088F"/>
    <w:rsid w:val="27DF1C1D"/>
    <w:rsid w:val="27E232A4"/>
    <w:rsid w:val="27E33DFE"/>
    <w:rsid w:val="27EF00EE"/>
    <w:rsid w:val="27F136FF"/>
    <w:rsid w:val="27FB756D"/>
    <w:rsid w:val="281C69CE"/>
    <w:rsid w:val="28286CB1"/>
    <w:rsid w:val="28305FD5"/>
    <w:rsid w:val="2831748E"/>
    <w:rsid w:val="283341FE"/>
    <w:rsid w:val="28506677"/>
    <w:rsid w:val="28520641"/>
    <w:rsid w:val="285E6A03"/>
    <w:rsid w:val="2868614B"/>
    <w:rsid w:val="286E76A3"/>
    <w:rsid w:val="28724B11"/>
    <w:rsid w:val="287405B8"/>
    <w:rsid w:val="2874680A"/>
    <w:rsid w:val="28822C54"/>
    <w:rsid w:val="28870F4E"/>
    <w:rsid w:val="288B3B53"/>
    <w:rsid w:val="28902F18"/>
    <w:rsid w:val="2890797C"/>
    <w:rsid w:val="2895052E"/>
    <w:rsid w:val="28961538"/>
    <w:rsid w:val="2898091A"/>
    <w:rsid w:val="28A16ED3"/>
    <w:rsid w:val="28E11339"/>
    <w:rsid w:val="28E54EDC"/>
    <w:rsid w:val="28EB1EDE"/>
    <w:rsid w:val="29065C78"/>
    <w:rsid w:val="291122AA"/>
    <w:rsid w:val="2917694A"/>
    <w:rsid w:val="29187D76"/>
    <w:rsid w:val="2920778B"/>
    <w:rsid w:val="29231FDE"/>
    <w:rsid w:val="29323FCF"/>
    <w:rsid w:val="29363ABF"/>
    <w:rsid w:val="295A51BA"/>
    <w:rsid w:val="295D01CC"/>
    <w:rsid w:val="29743749"/>
    <w:rsid w:val="29745035"/>
    <w:rsid w:val="29763EBB"/>
    <w:rsid w:val="297C21AC"/>
    <w:rsid w:val="2980266F"/>
    <w:rsid w:val="29900DE6"/>
    <w:rsid w:val="2994507C"/>
    <w:rsid w:val="29C53533"/>
    <w:rsid w:val="29CA4159"/>
    <w:rsid w:val="29D22ED3"/>
    <w:rsid w:val="29DF7CB3"/>
    <w:rsid w:val="29EC23D0"/>
    <w:rsid w:val="29F73582"/>
    <w:rsid w:val="29F86CF2"/>
    <w:rsid w:val="29FA0C70"/>
    <w:rsid w:val="2A0311A6"/>
    <w:rsid w:val="2A151926"/>
    <w:rsid w:val="2A4B5348"/>
    <w:rsid w:val="2A4D10C0"/>
    <w:rsid w:val="2A5561C7"/>
    <w:rsid w:val="2A65449A"/>
    <w:rsid w:val="2A7F3244"/>
    <w:rsid w:val="2A994FFC"/>
    <w:rsid w:val="2AA92A8B"/>
    <w:rsid w:val="2AAD6003"/>
    <w:rsid w:val="2AB71E58"/>
    <w:rsid w:val="2AC805EF"/>
    <w:rsid w:val="2AD6553A"/>
    <w:rsid w:val="2AD6555A"/>
    <w:rsid w:val="2AE7365C"/>
    <w:rsid w:val="2AEF3F25"/>
    <w:rsid w:val="2AF91FAB"/>
    <w:rsid w:val="2AFC251F"/>
    <w:rsid w:val="2B083239"/>
    <w:rsid w:val="2B0B2D29"/>
    <w:rsid w:val="2B125E66"/>
    <w:rsid w:val="2B1D0AF2"/>
    <w:rsid w:val="2B24671B"/>
    <w:rsid w:val="2B2F3E89"/>
    <w:rsid w:val="2B3C1135"/>
    <w:rsid w:val="2B405E67"/>
    <w:rsid w:val="2B4B466F"/>
    <w:rsid w:val="2B4E5774"/>
    <w:rsid w:val="2B4F0373"/>
    <w:rsid w:val="2B58197D"/>
    <w:rsid w:val="2B591CE7"/>
    <w:rsid w:val="2B5E72FD"/>
    <w:rsid w:val="2B885423"/>
    <w:rsid w:val="2BA54F2C"/>
    <w:rsid w:val="2BA84DEF"/>
    <w:rsid w:val="2BB92785"/>
    <w:rsid w:val="2BCB515F"/>
    <w:rsid w:val="2BD67F4C"/>
    <w:rsid w:val="2BD72152"/>
    <w:rsid w:val="2BDA40B0"/>
    <w:rsid w:val="2BDA6A14"/>
    <w:rsid w:val="2BDB6BA0"/>
    <w:rsid w:val="2BE95A27"/>
    <w:rsid w:val="2BEE68D3"/>
    <w:rsid w:val="2C0A4D8F"/>
    <w:rsid w:val="2C163734"/>
    <w:rsid w:val="2C1A3224"/>
    <w:rsid w:val="2C1B3685"/>
    <w:rsid w:val="2C251D36"/>
    <w:rsid w:val="2C286B06"/>
    <w:rsid w:val="2C3342E6"/>
    <w:rsid w:val="2C3818FC"/>
    <w:rsid w:val="2C414C55"/>
    <w:rsid w:val="2C4402A1"/>
    <w:rsid w:val="2C4509EF"/>
    <w:rsid w:val="2C473B4B"/>
    <w:rsid w:val="2C4B7F4E"/>
    <w:rsid w:val="2C4F7FCC"/>
    <w:rsid w:val="2C520C10"/>
    <w:rsid w:val="2C54250E"/>
    <w:rsid w:val="2C5801F0"/>
    <w:rsid w:val="2C5C5861"/>
    <w:rsid w:val="2C646582"/>
    <w:rsid w:val="2C6B1CD2"/>
    <w:rsid w:val="2C770676"/>
    <w:rsid w:val="2C842D93"/>
    <w:rsid w:val="2C8F5C76"/>
    <w:rsid w:val="2CAC416A"/>
    <w:rsid w:val="2CAE3114"/>
    <w:rsid w:val="2CB37F14"/>
    <w:rsid w:val="2CC8798B"/>
    <w:rsid w:val="2CCE2260"/>
    <w:rsid w:val="2CD02178"/>
    <w:rsid w:val="2CD77367"/>
    <w:rsid w:val="2CDF446E"/>
    <w:rsid w:val="2CEA02B1"/>
    <w:rsid w:val="2CEE5BFB"/>
    <w:rsid w:val="2CF047C1"/>
    <w:rsid w:val="2CF06F76"/>
    <w:rsid w:val="2CF5572D"/>
    <w:rsid w:val="2CFC1259"/>
    <w:rsid w:val="2D0D0FDB"/>
    <w:rsid w:val="2D144117"/>
    <w:rsid w:val="2D15517D"/>
    <w:rsid w:val="2D2E4BB0"/>
    <w:rsid w:val="2D3227EF"/>
    <w:rsid w:val="2D360531"/>
    <w:rsid w:val="2D391DD0"/>
    <w:rsid w:val="2D3B7B03"/>
    <w:rsid w:val="2D480265"/>
    <w:rsid w:val="2D5108D1"/>
    <w:rsid w:val="2D7C1CBC"/>
    <w:rsid w:val="2D7C58D8"/>
    <w:rsid w:val="2D855015"/>
    <w:rsid w:val="2D8C0AA2"/>
    <w:rsid w:val="2D8C1F00"/>
    <w:rsid w:val="2D9801C5"/>
    <w:rsid w:val="2DA07759"/>
    <w:rsid w:val="2DA2119A"/>
    <w:rsid w:val="2DA32FAF"/>
    <w:rsid w:val="2DA74F8B"/>
    <w:rsid w:val="2DAC07F4"/>
    <w:rsid w:val="2DB63420"/>
    <w:rsid w:val="2DB8284E"/>
    <w:rsid w:val="2DBE2DB6"/>
    <w:rsid w:val="2DC518B5"/>
    <w:rsid w:val="2DC86CB0"/>
    <w:rsid w:val="2DCA7FC8"/>
    <w:rsid w:val="2DCE2518"/>
    <w:rsid w:val="2DD12008"/>
    <w:rsid w:val="2DE17538"/>
    <w:rsid w:val="2DED4EE6"/>
    <w:rsid w:val="2E0217E0"/>
    <w:rsid w:val="2E16660C"/>
    <w:rsid w:val="2E1C695C"/>
    <w:rsid w:val="2E204D3E"/>
    <w:rsid w:val="2E220265"/>
    <w:rsid w:val="2E255EB0"/>
    <w:rsid w:val="2E2C5491"/>
    <w:rsid w:val="2E33681F"/>
    <w:rsid w:val="2E45411B"/>
    <w:rsid w:val="2E513149"/>
    <w:rsid w:val="2E517F5E"/>
    <w:rsid w:val="2E5B5259"/>
    <w:rsid w:val="2E735379"/>
    <w:rsid w:val="2E826544"/>
    <w:rsid w:val="2E890733"/>
    <w:rsid w:val="2E89643F"/>
    <w:rsid w:val="2EAE2349"/>
    <w:rsid w:val="2EB21E3A"/>
    <w:rsid w:val="2EBA484A"/>
    <w:rsid w:val="2EBF2F28"/>
    <w:rsid w:val="2EC67693"/>
    <w:rsid w:val="2EC851B9"/>
    <w:rsid w:val="2ED26038"/>
    <w:rsid w:val="2ED4418A"/>
    <w:rsid w:val="2ED753FC"/>
    <w:rsid w:val="2EDB0345"/>
    <w:rsid w:val="2EE44E0D"/>
    <w:rsid w:val="2EF51D26"/>
    <w:rsid w:val="2F183816"/>
    <w:rsid w:val="2F2443BA"/>
    <w:rsid w:val="2F2A4504"/>
    <w:rsid w:val="2F300FB0"/>
    <w:rsid w:val="2F370591"/>
    <w:rsid w:val="2F3A598B"/>
    <w:rsid w:val="2F3B1ABD"/>
    <w:rsid w:val="2F406DDF"/>
    <w:rsid w:val="2F432A92"/>
    <w:rsid w:val="2F436F36"/>
    <w:rsid w:val="2F4B1946"/>
    <w:rsid w:val="2F5527C5"/>
    <w:rsid w:val="2F5A3D7C"/>
    <w:rsid w:val="2F5B33DC"/>
    <w:rsid w:val="2F794705"/>
    <w:rsid w:val="2F833124"/>
    <w:rsid w:val="2F841511"/>
    <w:rsid w:val="2F882568"/>
    <w:rsid w:val="2F9368EB"/>
    <w:rsid w:val="2F967065"/>
    <w:rsid w:val="2FA06136"/>
    <w:rsid w:val="2FAA48BF"/>
    <w:rsid w:val="2FB00CDA"/>
    <w:rsid w:val="2FB517F4"/>
    <w:rsid w:val="2FB971F8"/>
    <w:rsid w:val="2FC23C34"/>
    <w:rsid w:val="2FC811E9"/>
    <w:rsid w:val="2FD933F6"/>
    <w:rsid w:val="2FDC4ABA"/>
    <w:rsid w:val="2FDE27BA"/>
    <w:rsid w:val="2FE029D7"/>
    <w:rsid w:val="2FE34275"/>
    <w:rsid w:val="2FED0D32"/>
    <w:rsid w:val="2FEF7F00"/>
    <w:rsid w:val="2FF81ACE"/>
    <w:rsid w:val="300C557A"/>
    <w:rsid w:val="30134B5A"/>
    <w:rsid w:val="30141411"/>
    <w:rsid w:val="304050A9"/>
    <w:rsid w:val="304A293B"/>
    <w:rsid w:val="304D1074"/>
    <w:rsid w:val="304F7886"/>
    <w:rsid w:val="30536D05"/>
    <w:rsid w:val="305D4FC1"/>
    <w:rsid w:val="306233EC"/>
    <w:rsid w:val="30905BF0"/>
    <w:rsid w:val="309126E6"/>
    <w:rsid w:val="30A526B1"/>
    <w:rsid w:val="30A86AA6"/>
    <w:rsid w:val="30B154C4"/>
    <w:rsid w:val="30B26121"/>
    <w:rsid w:val="30BA6E07"/>
    <w:rsid w:val="30CC1D15"/>
    <w:rsid w:val="30DA711C"/>
    <w:rsid w:val="30E8664A"/>
    <w:rsid w:val="30EB3963"/>
    <w:rsid w:val="30F860E0"/>
    <w:rsid w:val="30FE4305"/>
    <w:rsid w:val="310C5ADB"/>
    <w:rsid w:val="312406A1"/>
    <w:rsid w:val="312468F3"/>
    <w:rsid w:val="31307046"/>
    <w:rsid w:val="31327262"/>
    <w:rsid w:val="313639F4"/>
    <w:rsid w:val="31436676"/>
    <w:rsid w:val="314B20D2"/>
    <w:rsid w:val="31591654"/>
    <w:rsid w:val="316D029A"/>
    <w:rsid w:val="316E7B6E"/>
    <w:rsid w:val="31833619"/>
    <w:rsid w:val="319F1B6B"/>
    <w:rsid w:val="31AA79E7"/>
    <w:rsid w:val="31C85368"/>
    <w:rsid w:val="31E6478A"/>
    <w:rsid w:val="31E717A8"/>
    <w:rsid w:val="31ED0CE4"/>
    <w:rsid w:val="31F42769"/>
    <w:rsid w:val="31FD161E"/>
    <w:rsid w:val="32001BF5"/>
    <w:rsid w:val="32022AD8"/>
    <w:rsid w:val="32132BEF"/>
    <w:rsid w:val="32284EA0"/>
    <w:rsid w:val="32340DB8"/>
    <w:rsid w:val="3235616A"/>
    <w:rsid w:val="323C6F95"/>
    <w:rsid w:val="323E1303"/>
    <w:rsid w:val="323E5D53"/>
    <w:rsid w:val="32621481"/>
    <w:rsid w:val="326E50D7"/>
    <w:rsid w:val="32794A1C"/>
    <w:rsid w:val="32821B23"/>
    <w:rsid w:val="328533C1"/>
    <w:rsid w:val="328F4513"/>
    <w:rsid w:val="329D4428"/>
    <w:rsid w:val="32AF463E"/>
    <w:rsid w:val="32B20E8F"/>
    <w:rsid w:val="32C1585A"/>
    <w:rsid w:val="32C8715A"/>
    <w:rsid w:val="32D0288E"/>
    <w:rsid w:val="32DE38BE"/>
    <w:rsid w:val="32E63BEE"/>
    <w:rsid w:val="32F01BE1"/>
    <w:rsid w:val="32F3657D"/>
    <w:rsid w:val="32F742BF"/>
    <w:rsid w:val="32FF3174"/>
    <w:rsid w:val="3304078A"/>
    <w:rsid w:val="33057664"/>
    <w:rsid w:val="332A19EA"/>
    <w:rsid w:val="333C7F24"/>
    <w:rsid w:val="3344327C"/>
    <w:rsid w:val="3350577D"/>
    <w:rsid w:val="33527747"/>
    <w:rsid w:val="335E34EB"/>
    <w:rsid w:val="336265BE"/>
    <w:rsid w:val="33664FA1"/>
    <w:rsid w:val="33686F6B"/>
    <w:rsid w:val="336B25B7"/>
    <w:rsid w:val="33704071"/>
    <w:rsid w:val="33843679"/>
    <w:rsid w:val="33860733"/>
    <w:rsid w:val="338D64EF"/>
    <w:rsid w:val="338F44F8"/>
    <w:rsid w:val="33950355"/>
    <w:rsid w:val="339733AC"/>
    <w:rsid w:val="33B35566"/>
    <w:rsid w:val="33B421B0"/>
    <w:rsid w:val="33C5616B"/>
    <w:rsid w:val="33CB74FA"/>
    <w:rsid w:val="33EA047C"/>
    <w:rsid w:val="33EA5BD2"/>
    <w:rsid w:val="33F64577"/>
    <w:rsid w:val="33F95E15"/>
    <w:rsid w:val="340622E0"/>
    <w:rsid w:val="3407106E"/>
    <w:rsid w:val="340D18C0"/>
    <w:rsid w:val="34192013"/>
    <w:rsid w:val="34292CC4"/>
    <w:rsid w:val="342B5BC4"/>
    <w:rsid w:val="34677222"/>
    <w:rsid w:val="346D124D"/>
    <w:rsid w:val="346F257B"/>
    <w:rsid w:val="34711DFD"/>
    <w:rsid w:val="3478739D"/>
    <w:rsid w:val="347C5E07"/>
    <w:rsid w:val="347D25A2"/>
    <w:rsid w:val="34B40E7B"/>
    <w:rsid w:val="34C37E38"/>
    <w:rsid w:val="34C603ED"/>
    <w:rsid w:val="34C71A6F"/>
    <w:rsid w:val="34C937B3"/>
    <w:rsid w:val="34DB551B"/>
    <w:rsid w:val="34DD3449"/>
    <w:rsid w:val="34E50344"/>
    <w:rsid w:val="34F20B31"/>
    <w:rsid w:val="34F62D5D"/>
    <w:rsid w:val="34FB5BBD"/>
    <w:rsid w:val="3519031D"/>
    <w:rsid w:val="353A4937"/>
    <w:rsid w:val="353D61D5"/>
    <w:rsid w:val="3557773B"/>
    <w:rsid w:val="35611EC4"/>
    <w:rsid w:val="356432F3"/>
    <w:rsid w:val="356F257B"/>
    <w:rsid w:val="357C281E"/>
    <w:rsid w:val="35884BF0"/>
    <w:rsid w:val="358D2B89"/>
    <w:rsid w:val="35906305"/>
    <w:rsid w:val="35A16764"/>
    <w:rsid w:val="35A52FD0"/>
    <w:rsid w:val="35A64D8D"/>
    <w:rsid w:val="35B06F0F"/>
    <w:rsid w:val="35B20971"/>
    <w:rsid w:val="35D00DF7"/>
    <w:rsid w:val="35F07A79"/>
    <w:rsid w:val="35F66AB0"/>
    <w:rsid w:val="360D1FF2"/>
    <w:rsid w:val="362058DB"/>
    <w:rsid w:val="36266C69"/>
    <w:rsid w:val="362737FF"/>
    <w:rsid w:val="36296EEB"/>
    <w:rsid w:val="36407D2B"/>
    <w:rsid w:val="364451CC"/>
    <w:rsid w:val="364C66D0"/>
    <w:rsid w:val="364F201A"/>
    <w:rsid w:val="365C5755"/>
    <w:rsid w:val="366118FB"/>
    <w:rsid w:val="366D0DF0"/>
    <w:rsid w:val="367C4ADB"/>
    <w:rsid w:val="368D0A96"/>
    <w:rsid w:val="368F4829"/>
    <w:rsid w:val="36981915"/>
    <w:rsid w:val="36985DB9"/>
    <w:rsid w:val="36987B67"/>
    <w:rsid w:val="369D6CC3"/>
    <w:rsid w:val="36A24542"/>
    <w:rsid w:val="36AC01E4"/>
    <w:rsid w:val="36AE41ED"/>
    <w:rsid w:val="36B84178"/>
    <w:rsid w:val="36B97ADD"/>
    <w:rsid w:val="36C84F27"/>
    <w:rsid w:val="36D6068F"/>
    <w:rsid w:val="36D81E9B"/>
    <w:rsid w:val="36D90816"/>
    <w:rsid w:val="36DB793C"/>
    <w:rsid w:val="36DE362E"/>
    <w:rsid w:val="36E13A87"/>
    <w:rsid w:val="36F00C0D"/>
    <w:rsid w:val="36F54FB9"/>
    <w:rsid w:val="36F62AE0"/>
    <w:rsid w:val="36F7313E"/>
    <w:rsid w:val="370E7B58"/>
    <w:rsid w:val="37212251"/>
    <w:rsid w:val="37225683"/>
    <w:rsid w:val="372907BF"/>
    <w:rsid w:val="372D3D16"/>
    <w:rsid w:val="373C4191"/>
    <w:rsid w:val="37405B09"/>
    <w:rsid w:val="37445F75"/>
    <w:rsid w:val="376A3DBD"/>
    <w:rsid w:val="376A52B7"/>
    <w:rsid w:val="37705AF8"/>
    <w:rsid w:val="37761C72"/>
    <w:rsid w:val="3780733E"/>
    <w:rsid w:val="37824373"/>
    <w:rsid w:val="37832A6C"/>
    <w:rsid w:val="3783558D"/>
    <w:rsid w:val="378C4D7F"/>
    <w:rsid w:val="378D5FC5"/>
    <w:rsid w:val="37920A5A"/>
    <w:rsid w:val="379A16BD"/>
    <w:rsid w:val="379E11AD"/>
    <w:rsid w:val="37AB5678"/>
    <w:rsid w:val="37BC146D"/>
    <w:rsid w:val="37C13613"/>
    <w:rsid w:val="37C262E9"/>
    <w:rsid w:val="37CF6515"/>
    <w:rsid w:val="37D20E57"/>
    <w:rsid w:val="37DF3574"/>
    <w:rsid w:val="37EB5006"/>
    <w:rsid w:val="37EF01AA"/>
    <w:rsid w:val="37F063E3"/>
    <w:rsid w:val="38080EF9"/>
    <w:rsid w:val="380B25BB"/>
    <w:rsid w:val="380B4EB9"/>
    <w:rsid w:val="38156F95"/>
    <w:rsid w:val="381B759E"/>
    <w:rsid w:val="382F44FB"/>
    <w:rsid w:val="38390ED6"/>
    <w:rsid w:val="385E55B7"/>
    <w:rsid w:val="388518C8"/>
    <w:rsid w:val="38895B87"/>
    <w:rsid w:val="389205E6"/>
    <w:rsid w:val="3894610C"/>
    <w:rsid w:val="38A56B9D"/>
    <w:rsid w:val="38A74091"/>
    <w:rsid w:val="38AA1DD4"/>
    <w:rsid w:val="38B22A36"/>
    <w:rsid w:val="38B32EA0"/>
    <w:rsid w:val="38D25C01"/>
    <w:rsid w:val="38DB1010"/>
    <w:rsid w:val="38E250CA"/>
    <w:rsid w:val="38E726E0"/>
    <w:rsid w:val="38EA6674"/>
    <w:rsid w:val="38F434CE"/>
    <w:rsid w:val="38F66DC7"/>
    <w:rsid w:val="38FB43DD"/>
    <w:rsid w:val="390239BE"/>
    <w:rsid w:val="39167469"/>
    <w:rsid w:val="391C32AC"/>
    <w:rsid w:val="391C5A88"/>
    <w:rsid w:val="39294FAA"/>
    <w:rsid w:val="392A6E00"/>
    <w:rsid w:val="392C0A3B"/>
    <w:rsid w:val="39392249"/>
    <w:rsid w:val="39396CB4"/>
    <w:rsid w:val="393BFE5F"/>
    <w:rsid w:val="393D49F6"/>
    <w:rsid w:val="394A6F00"/>
    <w:rsid w:val="394C69E7"/>
    <w:rsid w:val="39763C5E"/>
    <w:rsid w:val="397F6DBC"/>
    <w:rsid w:val="39873EC3"/>
    <w:rsid w:val="39893797"/>
    <w:rsid w:val="398E34A3"/>
    <w:rsid w:val="39A46823"/>
    <w:rsid w:val="39AB5AD8"/>
    <w:rsid w:val="39C34AAC"/>
    <w:rsid w:val="39C958C2"/>
    <w:rsid w:val="39CB5055"/>
    <w:rsid w:val="39CD5D7A"/>
    <w:rsid w:val="39D83613"/>
    <w:rsid w:val="39DE4112"/>
    <w:rsid w:val="39FB10F9"/>
    <w:rsid w:val="3A03179B"/>
    <w:rsid w:val="3A220ABD"/>
    <w:rsid w:val="3A2B484E"/>
    <w:rsid w:val="3A314864"/>
    <w:rsid w:val="3A33270F"/>
    <w:rsid w:val="3A443B62"/>
    <w:rsid w:val="3A445910"/>
    <w:rsid w:val="3A451DB4"/>
    <w:rsid w:val="3A453A49"/>
    <w:rsid w:val="3A5A5495"/>
    <w:rsid w:val="3A5D630E"/>
    <w:rsid w:val="3A683CF4"/>
    <w:rsid w:val="3A6E37BE"/>
    <w:rsid w:val="3A731DB8"/>
    <w:rsid w:val="3A790053"/>
    <w:rsid w:val="3A7A48F7"/>
    <w:rsid w:val="3A7E5CA6"/>
    <w:rsid w:val="3A8114EC"/>
    <w:rsid w:val="3A971C80"/>
    <w:rsid w:val="3A993F1C"/>
    <w:rsid w:val="3AA06FEA"/>
    <w:rsid w:val="3AA37B84"/>
    <w:rsid w:val="3AB02FA5"/>
    <w:rsid w:val="3AB46F3A"/>
    <w:rsid w:val="3AB76A7B"/>
    <w:rsid w:val="3ACF78CF"/>
    <w:rsid w:val="3AD76784"/>
    <w:rsid w:val="3ADA4789"/>
    <w:rsid w:val="3AEA6B29"/>
    <w:rsid w:val="3AEE23E3"/>
    <w:rsid w:val="3AFA059B"/>
    <w:rsid w:val="3B003F2D"/>
    <w:rsid w:val="3B181913"/>
    <w:rsid w:val="3B19443C"/>
    <w:rsid w:val="3B282898"/>
    <w:rsid w:val="3B323145"/>
    <w:rsid w:val="3B36794F"/>
    <w:rsid w:val="3B46360C"/>
    <w:rsid w:val="3B491AF1"/>
    <w:rsid w:val="3B563B4D"/>
    <w:rsid w:val="3B581673"/>
    <w:rsid w:val="3B5E64E9"/>
    <w:rsid w:val="3B5F0C53"/>
    <w:rsid w:val="3B6B3A9C"/>
    <w:rsid w:val="3B6F4C0F"/>
    <w:rsid w:val="3B716BD9"/>
    <w:rsid w:val="3B8E778B"/>
    <w:rsid w:val="3B9A7EDD"/>
    <w:rsid w:val="3BB52F69"/>
    <w:rsid w:val="3BB66332"/>
    <w:rsid w:val="3BC92571"/>
    <w:rsid w:val="3BCE0CB4"/>
    <w:rsid w:val="3BE4775D"/>
    <w:rsid w:val="3BE64ED1"/>
    <w:rsid w:val="3BEB7A10"/>
    <w:rsid w:val="3BEE4E50"/>
    <w:rsid w:val="3BEE7FB0"/>
    <w:rsid w:val="3BF05D4F"/>
    <w:rsid w:val="3C123F18"/>
    <w:rsid w:val="3C1B7B8B"/>
    <w:rsid w:val="3C2123AD"/>
    <w:rsid w:val="3C400BA5"/>
    <w:rsid w:val="3C553E04"/>
    <w:rsid w:val="3C5F2ED5"/>
    <w:rsid w:val="3C6B187A"/>
    <w:rsid w:val="3C7B738B"/>
    <w:rsid w:val="3C7C5C4A"/>
    <w:rsid w:val="3CA8662A"/>
    <w:rsid w:val="3CB036B4"/>
    <w:rsid w:val="3CCB05C4"/>
    <w:rsid w:val="3CDB1CF7"/>
    <w:rsid w:val="3CE82ECA"/>
    <w:rsid w:val="3CED04E1"/>
    <w:rsid w:val="3CFE449C"/>
    <w:rsid w:val="3D045BA7"/>
    <w:rsid w:val="3D0870C9"/>
    <w:rsid w:val="3D136199"/>
    <w:rsid w:val="3D3660A8"/>
    <w:rsid w:val="3D3C1D06"/>
    <w:rsid w:val="3D567E34"/>
    <w:rsid w:val="3D597924"/>
    <w:rsid w:val="3D5F00FF"/>
    <w:rsid w:val="3D87623F"/>
    <w:rsid w:val="3D9D1F07"/>
    <w:rsid w:val="3D9E084F"/>
    <w:rsid w:val="3DA050E4"/>
    <w:rsid w:val="3DA46DF1"/>
    <w:rsid w:val="3DA951F8"/>
    <w:rsid w:val="3DAE1675"/>
    <w:rsid w:val="3DBE7928"/>
    <w:rsid w:val="3DC01751"/>
    <w:rsid w:val="3DD1399E"/>
    <w:rsid w:val="3DD82F3F"/>
    <w:rsid w:val="3DFE3B7D"/>
    <w:rsid w:val="3E077566"/>
    <w:rsid w:val="3E083DC9"/>
    <w:rsid w:val="3E104487"/>
    <w:rsid w:val="3E1349EF"/>
    <w:rsid w:val="3E157B99"/>
    <w:rsid w:val="3E1D1635"/>
    <w:rsid w:val="3E1D7646"/>
    <w:rsid w:val="3E1F291C"/>
    <w:rsid w:val="3E3D0FF4"/>
    <w:rsid w:val="3E3D264C"/>
    <w:rsid w:val="3E4062F7"/>
    <w:rsid w:val="3E43485C"/>
    <w:rsid w:val="3E501EDE"/>
    <w:rsid w:val="3E640D24"/>
    <w:rsid w:val="3E693B97"/>
    <w:rsid w:val="3E762CD2"/>
    <w:rsid w:val="3E8833F9"/>
    <w:rsid w:val="3E8863DC"/>
    <w:rsid w:val="3E933797"/>
    <w:rsid w:val="3EAD4A34"/>
    <w:rsid w:val="3EB94B1E"/>
    <w:rsid w:val="3EBC460F"/>
    <w:rsid w:val="3ED05E2D"/>
    <w:rsid w:val="3EE55BC4"/>
    <w:rsid w:val="3EE97FE7"/>
    <w:rsid w:val="3EEB389F"/>
    <w:rsid w:val="3EF77E0B"/>
    <w:rsid w:val="3EFD65B4"/>
    <w:rsid w:val="3EFE2EED"/>
    <w:rsid w:val="3F080D3B"/>
    <w:rsid w:val="3F122481"/>
    <w:rsid w:val="3F1A39D7"/>
    <w:rsid w:val="3F1D51A4"/>
    <w:rsid w:val="3F340649"/>
    <w:rsid w:val="3F3643C1"/>
    <w:rsid w:val="3F36616F"/>
    <w:rsid w:val="3F3906AA"/>
    <w:rsid w:val="3F4A13FB"/>
    <w:rsid w:val="3F4F7231"/>
    <w:rsid w:val="3F697D56"/>
    <w:rsid w:val="3F6E3B5B"/>
    <w:rsid w:val="3F780536"/>
    <w:rsid w:val="3F827606"/>
    <w:rsid w:val="3FA330D9"/>
    <w:rsid w:val="3FA7706D"/>
    <w:rsid w:val="3FAF4384"/>
    <w:rsid w:val="3FC27A03"/>
    <w:rsid w:val="3FC419CD"/>
    <w:rsid w:val="3FC65FDD"/>
    <w:rsid w:val="3FC8073C"/>
    <w:rsid w:val="3FCA5C1C"/>
    <w:rsid w:val="3FCD7F83"/>
    <w:rsid w:val="3FE43E1D"/>
    <w:rsid w:val="3FE553D4"/>
    <w:rsid w:val="3FE61943"/>
    <w:rsid w:val="3FEC076A"/>
    <w:rsid w:val="3FF54893"/>
    <w:rsid w:val="4005284F"/>
    <w:rsid w:val="4010515C"/>
    <w:rsid w:val="401D1804"/>
    <w:rsid w:val="402661E4"/>
    <w:rsid w:val="40534AFF"/>
    <w:rsid w:val="405368AD"/>
    <w:rsid w:val="405745EF"/>
    <w:rsid w:val="405E2CDC"/>
    <w:rsid w:val="408014EB"/>
    <w:rsid w:val="408054C9"/>
    <w:rsid w:val="40823EAE"/>
    <w:rsid w:val="40B40BE4"/>
    <w:rsid w:val="40C23AE7"/>
    <w:rsid w:val="40C81049"/>
    <w:rsid w:val="40C94324"/>
    <w:rsid w:val="40D914A8"/>
    <w:rsid w:val="40E73783"/>
    <w:rsid w:val="40E90FBF"/>
    <w:rsid w:val="40F260C6"/>
    <w:rsid w:val="40F938F8"/>
    <w:rsid w:val="4102318A"/>
    <w:rsid w:val="410A340F"/>
    <w:rsid w:val="410C0F0D"/>
    <w:rsid w:val="411029F0"/>
    <w:rsid w:val="41165DCE"/>
    <w:rsid w:val="41232723"/>
    <w:rsid w:val="412F5BD2"/>
    <w:rsid w:val="41384420"/>
    <w:rsid w:val="413C2AA7"/>
    <w:rsid w:val="41526B64"/>
    <w:rsid w:val="41540B2E"/>
    <w:rsid w:val="41654AEA"/>
    <w:rsid w:val="41790595"/>
    <w:rsid w:val="417C712D"/>
    <w:rsid w:val="41800872"/>
    <w:rsid w:val="418408ED"/>
    <w:rsid w:val="419453CF"/>
    <w:rsid w:val="419929E5"/>
    <w:rsid w:val="419E0C7E"/>
    <w:rsid w:val="41AD3B1A"/>
    <w:rsid w:val="41AE46E3"/>
    <w:rsid w:val="41B94E35"/>
    <w:rsid w:val="41BD2B78"/>
    <w:rsid w:val="41C061C4"/>
    <w:rsid w:val="41CE2E0E"/>
    <w:rsid w:val="41D03ED9"/>
    <w:rsid w:val="41D76023"/>
    <w:rsid w:val="41E94841"/>
    <w:rsid w:val="41EE2D31"/>
    <w:rsid w:val="41F30347"/>
    <w:rsid w:val="42010CB6"/>
    <w:rsid w:val="420E6F2F"/>
    <w:rsid w:val="42120303"/>
    <w:rsid w:val="42262485"/>
    <w:rsid w:val="422D56B7"/>
    <w:rsid w:val="42380450"/>
    <w:rsid w:val="4238483B"/>
    <w:rsid w:val="423B2E33"/>
    <w:rsid w:val="42425A2A"/>
    <w:rsid w:val="4245422F"/>
    <w:rsid w:val="424C5CAA"/>
    <w:rsid w:val="425007A4"/>
    <w:rsid w:val="42517667"/>
    <w:rsid w:val="42591843"/>
    <w:rsid w:val="425A7062"/>
    <w:rsid w:val="425D3A13"/>
    <w:rsid w:val="4262404C"/>
    <w:rsid w:val="42731488"/>
    <w:rsid w:val="42755DCE"/>
    <w:rsid w:val="42764AD5"/>
    <w:rsid w:val="427C3AA8"/>
    <w:rsid w:val="427F7E2D"/>
    <w:rsid w:val="429233E9"/>
    <w:rsid w:val="42947396"/>
    <w:rsid w:val="429C453B"/>
    <w:rsid w:val="42A548DC"/>
    <w:rsid w:val="42B26F6B"/>
    <w:rsid w:val="42B76917"/>
    <w:rsid w:val="42C35F6C"/>
    <w:rsid w:val="42CE4911"/>
    <w:rsid w:val="430622FC"/>
    <w:rsid w:val="431E13F4"/>
    <w:rsid w:val="431F797E"/>
    <w:rsid w:val="432C22FD"/>
    <w:rsid w:val="432E325E"/>
    <w:rsid w:val="4332743B"/>
    <w:rsid w:val="433724B6"/>
    <w:rsid w:val="433A6F2A"/>
    <w:rsid w:val="43432C5B"/>
    <w:rsid w:val="434E294F"/>
    <w:rsid w:val="43560B8E"/>
    <w:rsid w:val="435E1BAE"/>
    <w:rsid w:val="436A63E7"/>
    <w:rsid w:val="437C2429"/>
    <w:rsid w:val="4386396B"/>
    <w:rsid w:val="439671DC"/>
    <w:rsid w:val="4399653F"/>
    <w:rsid w:val="43AC2EA4"/>
    <w:rsid w:val="43B018E5"/>
    <w:rsid w:val="43B0785C"/>
    <w:rsid w:val="43BF2BD7"/>
    <w:rsid w:val="43C1439E"/>
    <w:rsid w:val="43CA74FA"/>
    <w:rsid w:val="43D67F21"/>
    <w:rsid w:val="43DA5B0F"/>
    <w:rsid w:val="43E048FB"/>
    <w:rsid w:val="43FC1967"/>
    <w:rsid w:val="440A7BCA"/>
    <w:rsid w:val="440E3217"/>
    <w:rsid w:val="44114AB5"/>
    <w:rsid w:val="441D16AC"/>
    <w:rsid w:val="44202F4A"/>
    <w:rsid w:val="443B7D84"/>
    <w:rsid w:val="443C4DED"/>
    <w:rsid w:val="4440539A"/>
    <w:rsid w:val="44460609"/>
    <w:rsid w:val="44550FE0"/>
    <w:rsid w:val="445E58F6"/>
    <w:rsid w:val="446612A5"/>
    <w:rsid w:val="4488746D"/>
    <w:rsid w:val="448E25A9"/>
    <w:rsid w:val="448E2A61"/>
    <w:rsid w:val="44910F85"/>
    <w:rsid w:val="44987376"/>
    <w:rsid w:val="449D3C3F"/>
    <w:rsid w:val="44AC2A30"/>
    <w:rsid w:val="44B00772"/>
    <w:rsid w:val="44B846ED"/>
    <w:rsid w:val="44BB4EE2"/>
    <w:rsid w:val="44BC2C73"/>
    <w:rsid w:val="44C67F95"/>
    <w:rsid w:val="44CF1050"/>
    <w:rsid w:val="44D81A76"/>
    <w:rsid w:val="44D97CC8"/>
    <w:rsid w:val="44DE52DF"/>
    <w:rsid w:val="44DF1FFC"/>
    <w:rsid w:val="44E5468B"/>
    <w:rsid w:val="44E70F76"/>
    <w:rsid w:val="44F11804"/>
    <w:rsid w:val="44F62F8A"/>
    <w:rsid w:val="4504286C"/>
    <w:rsid w:val="450D34CE"/>
    <w:rsid w:val="453E7647"/>
    <w:rsid w:val="454B049A"/>
    <w:rsid w:val="4550785F"/>
    <w:rsid w:val="455C6423"/>
    <w:rsid w:val="456B0FBF"/>
    <w:rsid w:val="456B6447"/>
    <w:rsid w:val="45701CAF"/>
    <w:rsid w:val="45857508"/>
    <w:rsid w:val="458D0B7D"/>
    <w:rsid w:val="459862D5"/>
    <w:rsid w:val="459B31D0"/>
    <w:rsid w:val="45BC1016"/>
    <w:rsid w:val="45CD2E0C"/>
    <w:rsid w:val="45D81DE2"/>
    <w:rsid w:val="45E06741"/>
    <w:rsid w:val="45ED4677"/>
    <w:rsid w:val="45ED58CF"/>
    <w:rsid w:val="45F12DF0"/>
    <w:rsid w:val="460743C1"/>
    <w:rsid w:val="460A2104"/>
    <w:rsid w:val="460D5750"/>
    <w:rsid w:val="461710E5"/>
    <w:rsid w:val="461B662E"/>
    <w:rsid w:val="461D3A65"/>
    <w:rsid w:val="461F1939"/>
    <w:rsid w:val="461F45F4"/>
    <w:rsid w:val="463A2364"/>
    <w:rsid w:val="46415F52"/>
    <w:rsid w:val="464C0026"/>
    <w:rsid w:val="46535859"/>
    <w:rsid w:val="465810C1"/>
    <w:rsid w:val="465B64BB"/>
    <w:rsid w:val="465F41FD"/>
    <w:rsid w:val="4662784A"/>
    <w:rsid w:val="466C691A"/>
    <w:rsid w:val="466E4440"/>
    <w:rsid w:val="468970D8"/>
    <w:rsid w:val="468A0B4E"/>
    <w:rsid w:val="4693261B"/>
    <w:rsid w:val="4698326B"/>
    <w:rsid w:val="469D2F78"/>
    <w:rsid w:val="46A165C4"/>
    <w:rsid w:val="46A349C7"/>
    <w:rsid w:val="46B72656"/>
    <w:rsid w:val="46BC33FE"/>
    <w:rsid w:val="46C75939"/>
    <w:rsid w:val="46EE72CF"/>
    <w:rsid w:val="46F012F9"/>
    <w:rsid w:val="46FA3F26"/>
    <w:rsid w:val="46FC37FA"/>
    <w:rsid w:val="470D0F13"/>
    <w:rsid w:val="471825FE"/>
    <w:rsid w:val="471B0FE7"/>
    <w:rsid w:val="471F398D"/>
    <w:rsid w:val="4729480B"/>
    <w:rsid w:val="473A2575"/>
    <w:rsid w:val="473A4323"/>
    <w:rsid w:val="473C62ED"/>
    <w:rsid w:val="47462CC7"/>
    <w:rsid w:val="47517F40"/>
    <w:rsid w:val="47694C08"/>
    <w:rsid w:val="476D5309"/>
    <w:rsid w:val="476D7F33"/>
    <w:rsid w:val="476E4C21"/>
    <w:rsid w:val="47867568"/>
    <w:rsid w:val="47A81BD4"/>
    <w:rsid w:val="47B02837"/>
    <w:rsid w:val="47B57E4D"/>
    <w:rsid w:val="47C84024"/>
    <w:rsid w:val="47C85DD2"/>
    <w:rsid w:val="47C87B80"/>
    <w:rsid w:val="47C97176"/>
    <w:rsid w:val="47D77DC3"/>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1984"/>
    <w:rsid w:val="488B752C"/>
    <w:rsid w:val="488C5052"/>
    <w:rsid w:val="488E2B78"/>
    <w:rsid w:val="48943F06"/>
    <w:rsid w:val="489C31D4"/>
    <w:rsid w:val="48A44149"/>
    <w:rsid w:val="48A92948"/>
    <w:rsid w:val="48A93F5C"/>
    <w:rsid w:val="48B00D40"/>
    <w:rsid w:val="48B52FCC"/>
    <w:rsid w:val="48B60321"/>
    <w:rsid w:val="48B620CF"/>
    <w:rsid w:val="48B819A3"/>
    <w:rsid w:val="48BD1D7D"/>
    <w:rsid w:val="48C3755E"/>
    <w:rsid w:val="48CC1823"/>
    <w:rsid w:val="48D0332F"/>
    <w:rsid w:val="48DF5182"/>
    <w:rsid w:val="48E353B4"/>
    <w:rsid w:val="48F14EB5"/>
    <w:rsid w:val="48F2497C"/>
    <w:rsid w:val="48F86243"/>
    <w:rsid w:val="48FB7D98"/>
    <w:rsid w:val="48FC2A79"/>
    <w:rsid w:val="48FE3902"/>
    <w:rsid w:val="48FF7AF1"/>
    <w:rsid w:val="4907292A"/>
    <w:rsid w:val="491B1D26"/>
    <w:rsid w:val="491D214E"/>
    <w:rsid w:val="49366D6C"/>
    <w:rsid w:val="49390C0F"/>
    <w:rsid w:val="4939352B"/>
    <w:rsid w:val="493D0939"/>
    <w:rsid w:val="4950607F"/>
    <w:rsid w:val="496E1F93"/>
    <w:rsid w:val="496F46C5"/>
    <w:rsid w:val="49747FC0"/>
    <w:rsid w:val="49794576"/>
    <w:rsid w:val="4984432E"/>
    <w:rsid w:val="499E328F"/>
    <w:rsid w:val="49A85EBB"/>
    <w:rsid w:val="49AE58C9"/>
    <w:rsid w:val="49BF4FB3"/>
    <w:rsid w:val="49C42657"/>
    <w:rsid w:val="49D071C0"/>
    <w:rsid w:val="49F23981"/>
    <w:rsid w:val="4A054B02"/>
    <w:rsid w:val="4A174B2C"/>
    <w:rsid w:val="4A183041"/>
    <w:rsid w:val="4A1B668D"/>
    <w:rsid w:val="4A286FFC"/>
    <w:rsid w:val="4A32242C"/>
    <w:rsid w:val="4A3E05CE"/>
    <w:rsid w:val="4A474655"/>
    <w:rsid w:val="4A4D0C87"/>
    <w:rsid w:val="4A5A4EC8"/>
    <w:rsid w:val="4A69682F"/>
    <w:rsid w:val="4A6A0536"/>
    <w:rsid w:val="4A6F4C2B"/>
    <w:rsid w:val="4A7162AD"/>
    <w:rsid w:val="4A7479D8"/>
    <w:rsid w:val="4A7638C4"/>
    <w:rsid w:val="4A783AE0"/>
    <w:rsid w:val="4A7D10F6"/>
    <w:rsid w:val="4A857FAB"/>
    <w:rsid w:val="4A8E09AD"/>
    <w:rsid w:val="4A9B47C3"/>
    <w:rsid w:val="4AAD305D"/>
    <w:rsid w:val="4AB83754"/>
    <w:rsid w:val="4ABC70AC"/>
    <w:rsid w:val="4AC05487"/>
    <w:rsid w:val="4AC22FAD"/>
    <w:rsid w:val="4AD149B1"/>
    <w:rsid w:val="4AD93E52"/>
    <w:rsid w:val="4ADD7DE7"/>
    <w:rsid w:val="4AE90539"/>
    <w:rsid w:val="4B007631"/>
    <w:rsid w:val="4B0A7DFD"/>
    <w:rsid w:val="4B15132F"/>
    <w:rsid w:val="4B1650A7"/>
    <w:rsid w:val="4B245A16"/>
    <w:rsid w:val="4B2772B4"/>
    <w:rsid w:val="4B2E78F9"/>
    <w:rsid w:val="4B340C63"/>
    <w:rsid w:val="4B4C2876"/>
    <w:rsid w:val="4B507FA1"/>
    <w:rsid w:val="4B553E21"/>
    <w:rsid w:val="4B58121B"/>
    <w:rsid w:val="4B5F70FB"/>
    <w:rsid w:val="4B6C4CC7"/>
    <w:rsid w:val="4B724F3F"/>
    <w:rsid w:val="4B8244EA"/>
    <w:rsid w:val="4B8E0947"/>
    <w:rsid w:val="4B8F02D0"/>
    <w:rsid w:val="4B9761E7"/>
    <w:rsid w:val="4B9975E2"/>
    <w:rsid w:val="4BA06C91"/>
    <w:rsid w:val="4BA10E14"/>
    <w:rsid w:val="4BC82845"/>
    <w:rsid w:val="4BC9382B"/>
    <w:rsid w:val="4BCE772F"/>
    <w:rsid w:val="4BE55EEE"/>
    <w:rsid w:val="4BE91D61"/>
    <w:rsid w:val="4BF4363A"/>
    <w:rsid w:val="4C03678D"/>
    <w:rsid w:val="4C0A69B9"/>
    <w:rsid w:val="4C15535E"/>
    <w:rsid w:val="4C1A52CD"/>
    <w:rsid w:val="4C1C66ED"/>
    <w:rsid w:val="4C261319"/>
    <w:rsid w:val="4C2A3E39"/>
    <w:rsid w:val="4C3E6663"/>
    <w:rsid w:val="4C46376A"/>
    <w:rsid w:val="4C4B0D80"/>
    <w:rsid w:val="4C5145E8"/>
    <w:rsid w:val="4C560D01"/>
    <w:rsid w:val="4C570835"/>
    <w:rsid w:val="4C6065D9"/>
    <w:rsid w:val="4C6C1422"/>
    <w:rsid w:val="4C72455F"/>
    <w:rsid w:val="4C866699"/>
    <w:rsid w:val="4C872655"/>
    <w:rsid w:val="4C9149E5"/>
    <w:rsid w:val="4C967082"/>
    <w:rsid w:val="4C9952B8"/>
    <w:rsid w:val="4CA8481F"/>
    <w:rsid w:val="4CAA019C"/>
    <w:rsid w:val="4CAA1F4A"/>
    <w:rsid w:val="4CAF57B3"/>
    <w:rsid w:val="4CB22BAD"/>
    <w:rsid w:val="4CB30DFF"/>
    <w:rsid w:val="4CBD1D79"/>
    <w:rsid w:val="4CBD3A2C"/>
    <w:rsid w:val="4CC41E4C"/>
    <w:rsid w:val="4CCE3E8B"/>
    <w:rsid w:val="4CCE5C39"/>
    <w:rsid w:val="4CD30E24"/>
    <w:rsid w:val="4CEF795D"/>
    <w:rsid w:val="4CFE5DCC"/>
    <w:rsid w:val="4D023B34"/>
    <w:rsid w:val="4D1341C6"/>
    <w:rsid w:val="4D1675E0"/>
    <w:rsid w:val="4D205169"/>
    <w:rsid w:val="4D297313"/>
    <w:rsid w:val="4D2E66D8"/>
    <w:rsid w:val="4D3637DE"/>
    <w:rsid w:val="4D3A1520"/>
    <w:rsid w:val="4D695962"/>
    <w:rsid w:val="4D720CBA"/>
    <w:rsid w:val="4D8A1BA4"/>
    <w:rsid w:val="4D924EB8"/>
    <w:rsid w:val="4DA3100A"/>
    <w:rsid w:val="4DAD1CF2"/>
    <w:rsid w:val="4DBA7F6B"/>
    <w:rsid w:val="4DBC2D53"/>
    <w:rsid w:val="4DBD0D06"/>
    <w:rsid w:val="4DD74FC1"/>
    <w:rsid w:val="4DDC6134"/>
    <w:rsid w:val="4DE12B1C"/>
    <w:rsid w:val="4DE4323A"/>
    <w:rsid w:val="4DED6593"/>
    <w:rsid w:val="4E015B9A"/>
    <w:rsid w:val="4E015BA3"/>
    <w:rsid w:val="4E0163F5"/>
    <w:rsid w:val="4E017E91"/>
    <w:rsid w:val="4E0630F4"/>
    <w:rsid w:val="4E086F29"/>
    <w:rsid w:val="4E0B1523"/>
    <w:rsid w:val="4E296E9F"/>
    <w:rsid w:val="4E3201B2"/>
    <w:rsid w:val="4E3715BC"/>
    <w:rsid w:val="4E3F6E49"/>
    <w:rsid w:val="4E4E1B7C"/>
    <w:rsid w:val="4E4F2DA9"/>
    <w:rsid w:val="4E740A62"/>
    <w:rsid w:val="4E791332"/>
    <w:rsid w:val="4E7B5929"/>
    <w:rsid w:val="4E915170"/>
    <w:rsid w:val="4E9407BC"/>
    <w:rsid w:val="4EA01CF9"/>
    <w:rsid w:val="4EA03605"/>
    <w:rsid w:val="4EAE45C0"/>
    <w:rsid w:val="4EC1723F"/>
    <w:rsid w:val="4ECB793E"/>
    <w:rsid w:val="4ED237C4"/>
    <w:rsid w:val="4ED42FAE"/>
    <w:rsid w:val="4EDC50E3"/>
    <w:rsid w:val="4EE51018"/>
    <w:rsid w:val="4EF474AD"/>
    <w:rsid w:val="4EF96DD3"/>
    <w:rsid w:val="4F05790C"/>
    <w:rsid w:val="4F0B3174"/>
    <w:rsid w:val="4F29137D"/>
    <w:rsid w:val="4F2935FA"/>
    <w:rsid w:val="4F3124AF"/>
    <w:rsid w:val="4F3B6764"/>
    <w:rsid w:val="4F443F90"/>
    <w:rsid w:val="4F5955AB"/>
    <w:rsid w:val="4F5A0499"/>
    <w:rsid w:val="4F716D4F"/>
    <w:rsid w:val="4F7B7BBE"/>
    <w:rsid w:val="4F7F29EB"/>
    <w:rsid w:val="4F824AB9"/>
    <w:rsid w:val="4F913674"/>
    <w:rsid w:val="4F950C90"/>
    <w:rsid w:val="4FAE7650"/>
    <w:rsid w:val="4FB758F2"/>
    <w:rsid w:val="4FB853A1"/>
    <w:rsid w:val="4FBC446F"/>
    <w:rsid w:val="4FBE01E7"/>
    <w:rsid w:val="4FC7765E"/>
    <w:rsid w:val="4FD317B8"/>
    <w:rsid w:val="4FD70497"/>
    <w:rsid w:val="4FE439C5"/>
    <w:rsid w:val="4FE5311A"/>
    <w:rsid w:val="4FEE380D"/>
    <w:rsid w:val="4FF05EC6"/>
    <w:rsid w:val="4FF12116"/>
    <w:rsid w:val="4FFE4A87"/>
    <w:rsid w:val="500255D3"/>
    <w:rsid w:val="50131BB5"/>
    <w:rsid w:val="501C315F"/>
    <w:rsid w:val="501E5109"/>
    <w:rsid w:val="50250266"/>
    <w:rsid w:val="502D711A"/>
    <w:rsid w:val="503C735D"/>
    <w:rsid w:val="50406E4E"/>
    <w:rsid w:val="504306EC"/>
    <w:rsid w:val="50454464"/>
    <w:rsid w:val="50494C0B"/>
    <w:rsid w:val="506E41F3"/>
    <w:rsid w:val="507D2C39"/>
    <w:rsid w:val="509318B4"/>
    <w:rsid w:val="50A00366"/>
    <w:rsid w:val="50A13664"/>
    <w:rsid w:val="50AD025B"/>
    <w:rsid w:val="50B11AF9"/>
    <w:rsid w:val="50B1217B"/>
    <w:rsid w:val="50B27620"/>
    <w:rsid w:val="50C25AB5"/>
    <w:rsid w:val="50C62458"/>
    <w:rsid w:val="50C86E43"/>
    <w:rsid w:val="50C91FC5"/>
    <w:rsid w:val="50CA0DFE"/>
    <w:rsid w:val="50D70E34"/>
    <w:rsid w:val="50DB6B76"/>
    <w:rsid w:val="50DC4E4F"/>
    <w:rsid w:val="50FD4D3F"/>
    <w:rsid w:val="51071719"/>
    <w:rsid w:val="510A2FB8"/>
    <w:rsid w:val="510E1BA5"/>
    <w:rsid w:val="510F6820"/>
    <w:rsid w:val="51117398"/>
    <w:rsid w:val="51234079"/>
    <w:rsid w:val="51266A33"/>
    <w:rsid w:val="512A365A"/>
    <w:rsid w:val="513C37FC"/>
    <w:rsid w:val="514209A3"/>
    <w:rsid w:val="51441B43"/>
    <w:rsid w:val="515F77F3"/>
    <w:rsid w:val="51673B60"/>
    <w:rsid w:val="51764AF1"/>
    <w:rsid w:val="51850890"/>
    <w:rsid w:val="51947C73"/>
    <w:rsid w:val="519A1424"/>
    <w:rsid w:val="51A94320"/>
    <w:rsid w:val="51BD002A"/>
    <w:rsid w:val="51C25640"/>
    <w:rsid w:val="51C2710C"/>
    <w:rsid w:val="51CA4ABA"/>
    <w:rsid w:val="51F00477"/>
    <w:rsid w:val="51FF4AE6"/>
    <w:rsid w:val="520420FD"/>
    <w:rsid w:val="52043EAB"/>
    <w:rsid w:val="52166E3A"/>
    <w:rsid w:val="52350508"/>
    <w:rsid w:val="523D116B"/>
    <w:rsid w:val="52592449"/>
    <w:rsid w:val="525C548E"/>
    <w:rsid w:val="526A6404"/>
    <w:rsid w:val="52770161"/>
    <w:rsid w:val="5277467D"/>
    <w:rsid w:val="527821A3"/>
    <w:rsid w:val="52884ADC"/>
    <w:rsid w:val="52A55F09"/>
    <w:rsid w:val="52A5743C"/>
    <w:rsid w:val="52B14033"/>
    <w:rsid w:val="52B96A43"/>
    <w:rsid w:val="52CC2C1B"/>
    <w:rsid w:val="52D10231"/>
    <w:rsid w:val="52DC0984"/>
    <w:rsid w:val="52E11A7E"/>
    <w:rsid w:val="530A19C8"/>
    <w:rsid w:val="530C1269"/>
    <w:rsid w:val="532742F5"/>
    <w:rsid w:val="532866FC"/>
    <w:rsid w:val="53397B84"/>
    <w:rsid w:val="534055C7"/>
    <w:rsid w:val="53413128"/>
    <w:rsid w:val="53514ECE"/>
    <w:rsid w:val="53582700"/>
    <w:rsid w:val="536270DB"/>
    <w:rsid w:val="536C1D08"/>
    <w:rsid w:val="536D7406"/>
    <w:rsid w:val="537F369D"/>
    <w:rsid w:val="53837924"/>
    <w:rsid w:val="5394437E"/>
    <w:rsid w:val="539E5689"/>
    <w:rsid w:val="53BF0089"/>
    <w:rsid w:val="53C315B8"/>
    <w:rsid w:val="53C33A31"/>
    <w:rsid w:val="53CA4C80"/>
    <w:rsid w:val="53CE4609"/>
    <w:rsid w:val="53D13330"/>
    <w:rsid w:val="53D37FD9"/>
    <w:rsid w:val="53DC50DF"/>
    <w:rsid w:val="53E04E54"/>
    <w:rsid w:val="53E37401"/>
    <w:rsid w:val="53EA5EC2"/>
    <w:rsid w:val="53FE2CAA"/>
    <w:rsid w:val="53FF2B7C"/>
    <w:rsid w:val="54060074"/>
    <w:rsid w:val="540D34EB"/>
    <w:rsid w:val="5425237B"/>
    <w:rsid w:val="54270D01"/>
    <w:rsid w:val="542F6599"/>
    <w:rsid w:val="54322F51"/>
    <w:rsid w:val="543C16DA"/>
    <w:rsid w:val="543F741C"/>
    <w:rsid w:val="544007BD"/>
    <w:rsid w:val="544861CD"/>
    <w:rsid w:val="545F186C"/>
    <w:rsid w:val="54614835"/>
    <w:rsid w:val="546868CA"/>
    <w:rsid w:val="546C2EF7"/>
    <w:rsid w:val="546D1636"/>
    <w:rsid w:val="547A0EBA"/>
    <w:rsid w:val="54A92AE8"/>
    <w:rsid w:val="54A95C0B"/>
    <w:rsid w:val="54B32820"/>
    <w:rsid w:val="54C21D3D"/>
    <w:rsid w:val="54C811C0"/>
    <w:rsid w:val="54D77655"/>
    <w:rsid w:val="54DA405D"/>
    <w:rsid w:val="54ED46B7"/>
    <w:rsid w:val="54EF2BF0"/>
    <w:rsid w:val="54F12F9E"/>
    <w:rsid w:val="54F40B1A"/>
    <w:rsid w:val="55042B39"/>
    <w:rsid w:val="550A6114"/>
    <w:rsid w:val="5511602F"/>
    <w:rsid w:val="55252FF7"/>
    <w:rsid w:val="55262FE4"/>
    <w:rsid w:val="55287EB0"/>
    <w:rsid w:val="552F3C01"/>
    <w:rsid w:val="555020D9"/>
    <w:rsid w:val="555A000A"/>
    <w:rsid w:val="5567353F"/>
    <w:rsid w:val="55684751"/>
    <w:rsid w:val="55722A84"/>
    <w:rsid w:val="55871353"/>
    <w:rsid w:val="559B68D4"/>
    <w:rsid w:val="55A03EEB"/>
    <w:rsid w:val="55B300C2"/>
    <w:rsid w:val="55B701B9"/>
    <w:rsid w:val="55CE1CA9"/>
    <w:rsid w:val="55D84390"/>
    <w:rsid w:val="55E71B19"/>
    <w:rsid w:val="55E76CAF"/>
    <w:rsid w:val="55EC35D4"/>
    <w:rsid w:val="55EC6174"/>
    <w:rsid w:val="55F06C20"/>
    <w:rsid w:val="55FB302C"/>
    <w:rsid w:val="56094531"/>
    <w:rsid w:val="56144352"/>
    <w:rsid w:val="561F12B3"/>
    <w:rsid w:val="563274FC"/>
    <w:rsid w:val="563805C7"/>
    <w:rsid w:val="564D4072"/>
    <w:rsid w:val="56523597"/>
    <w:rsid w:val="565F7902"/>
    <w:rsid w:val="566273F2"/>
    <w:rsid w:val="566C201F"/>
    <w:rsid w:val="56705FB3"/>
    <w:rsid w:val="568A4AA8"/>
    <w:rsid w:val="56952275"/>
    <w:rsid w:val="56A20F4C"/>
    <w:rsid w:val="56A71C21"/>
    <w:rsid w:val="56CA56C3"/>
    <w:rsid w:val="56CF2CD9"/>
    <w:rsid w:val="56DC53F6"/>
    <w:rsid w:val="56E32780"/>
    <w:rsid w:val="56F40992"/>
    <w:rsid w:val="56F664B8"/>
    <w:rsid w:val="56F7C1A9"/>
    <w:rsid w:val="5705494D"/>
    <w:rsid w:val="570652F5"/>
    <w:rsid w:val="571050A0"/>
    <w:rsid w:val="572D17AE"/>
    <w:rsid w:val="5735149A"/>
    <w:rsid w:val="573B211D"/>
    <w:rsid w:val="573C40E7"/>
    <w:rsid w:val="57457BBE"/>
    <w:rsid w:val="57597595"/>
    <w:rsid w:val="57783371"/>
    <w:rsid w:val="577F5519"/>
    <w:rsid w:val="57853398"/>
    <w:rsid w:val="57882D03"/>
    <w:rsid w:val="578A30A4"/>
    <w:rsid w:val="578C77C8"/>
    <w:rsid w:val="57995095"/>
    <w:rsid w:val="579E26AC"/>
    <w:rsid w:val="579E445A"/>
    <w:rsid w:val="57A001D2"/>
    <w:rsid w:val="57B91294"/>
    <w:rsid w:val="57C540DC"/>
    <w:rsid w:val="57C92968"/>
    <w:rsid w:val="57D12A81"/>
    <w:rsid w:val="57DD31D4"/>
    <w:rsid w:val="57E26A3C"/>
    <w:rsid w:val="58150BC0"/>
    <w:rsid w:val="58232F61"/>
    <w:rsid w:val="582B03E3"/>
    <w:rsid w:val="584E2326"/>
    <w:rsid w:val="584F6442"/>
    <w:rsid w:val="586F67F3"/>
    <w:rsid w:val="5889335C"/>
    <w:rsid w:val="588E2720"/>
    <w:rsid w:val="58922210"/>
    <w:rsid w:val="5897698C"/>
    <w:rsid w:val="58A61818"/>
    <w:rsid w:val="58AE4B70"/>
    <w:rsid w:val="58BF5E0B"/>
    <w:rsid w:val="58D26AB1"/>
    <w:rsid w:val="58E910E8"/>
    <w:rsid w:val="58F44C79"/>
    <w:rsid w:val="58F5454D"/>
    <w:rsid w:val="58FE0DF1"/>
    <w:rsid w:val="59095C40"/>
    <w:rsid w:val="59111B9C"/>
    <w:rsid w:val="591B6713"/>
    <w:rsid w:val="591E5852"/>
    <w:rsid w:val="594159E5"/>
    <w:rsid w:val="59457283"/>
    <w:rsid w:val="5956139E"/>
    <w:rsid w:val="595B4CF8"/>
    <w:rsid w:val="595F5952"/>
    <w:rsid w:val="596213AF"/>
    <w:rsid w:val="598B699D"/>
    <w:rsid w:val="59A73A9A"/>
    <w:rsid w:val="59AC02BB"/>
    <w:rsid w:val="59AE7089"/>
    <w:rsid w:val="59B874CA"/>
    <w:rsid w:val="59C06909"/>
    <w:rsid w:val="59D423B5"/>
    <w:rsid w:val="59DC3E85"/>
    <w:rsid w:val="59E063CE"/>
    <w:rsid w:val="59E7033A"/>
    <w:rsid w:val="59F502E5"/>
    <w:rsid w:val="5A0802B0"/>
    <w:rsid w:val="5A0F57DD"/>
    <w:rsid w:val="5A1C0CF1"/>
    <w:rsid w:val="5A315A59"/>
    <w:rsid w:val="5A3F1F24"/>
    <w:rsid w:val="5A5657DF"/>
    <w:rsid w:val="5A584D94"/>
    <w:rsid w:val="5A605343"/>
    <w:rsid w:val="5A6220B6"/>
    <w:rsid w:val="5A694041"/>
    <w:rsid w:val="5A715379"/>
    <w:rsid w:val="5A8042EB"/>
    <w:rsid w:val="5A8750EF"/>
    <w:rsid w:val="5A875679"/>
    <w:rsid w:val="5A8A4029"/>
    <w:rsid w:val="5A9D589A"/>
    <w:rsid w:val="5AA20705"/>
    <w:rsid w:val="5AAC38B2"/>
    <w:rsid w:val="5AB50438"/>
    <w:rsid w:val="5AB83A84"/>
    <w:rsid w:val="5ABF26F5"/>
    <w:rsid w:val="5ACC06F0"/>
    <w:rsid w:val="5AD355CA"/>
    <w:rsid w:val="5ADC59C5"/>
    <w:rsid w:val="5AEB3E5A"/>
    <w:rsid w:val="5AF63B00"/>
    <w:rsid w:val="5AF80325"/>
    <w:rsid w:val="5B0311A3"/>
    <w:rsid w:val="5B052C90"/>
    <w:rsid w:val="5B0864EA"/>
    <w:rsid w:val="5B0A2301"/>
    <w:rsid w:val="5B13515F"/>
    <w:rsid w:val="5B1A64ED"/>
    <w:rsid w:val="5B2B06FA"/>
    <w:rsid w:val="5B3E042E"/>
    <w:rsid w:val="5B647BE9"/>
    <w:rsid w:val="5B6A7475"/>
    <w:rsid w:val="5B8A71CF"/>
    <w:rsid w:val="5B9242D5"/>
    <w:rsid w:val="5B983D7F"/>
    <w:rsid w:val="5B991B08"/>
    <w:rsid w:val="5B9C016D"/>
    <w:rsid w:val="5BC31F35"/>
    <w:rsid w:val="5BC70423"/>
    <w:rsid w:val="5BD81079"/>
    <w:rsid w:val="5BDC37A3"/>
    <w:rsid w:val="5BE17EDB"/>
    <w:rsid w:val="5BE64472"/>
    <w:rsid w:val="5BE71B3F"/>
    <w:rsid w:val="5BEA2363"/>
    <w:rsid w:val="5BEA70F3"/>
    <w:rsid w:val="5BF44F90"/>
    <w:rsid w:val="5BF46D3E"/>
    <w:rsid w:val="5BF62AB6"/>
    <w:rsid w:val="5C10780F"/>
    <w:rsid w:val="5C166CB5"/>
    <w:rsid w:val="5C193211"/>
    <w:rsid w:val="5C1D1988"/>
    <w:rsid w:val="5C25339C"/>
    <w:rsid w:val="5C256DFB"/>
    <w:rsid w:val="5C265952"/>
    <w:rsid w:val="5C447CC6"/>
    <w:rsid w:val="5C5B500F"/>
    <w:rsid w:val="5C60584B"/>
    <w:rsid w:val="5C61112F"/>
    <w:rsid w:val="5C642943"/>
    <w:rsid w:val="5C6A5252"/>
    <w:rsid w:val="5C741C2D"/>
    <w:rsid w:val="5C7F0CFE"/>
    <w:rsid w:val="5C910A31"/>
    <w:rsid w:val="5CAA639E"/>
    <w:rsid w:val="5CAB061E"/>
    <w:rsid w:val="5CAE501B"/>
    <w:rsid w:val="5CB12C5F"/>
    <w:rsid w:val="5CB339BC"/>
    <w:rsid w:val="5CB5471F"/>
    <w:rsid w:val="5CB54FEF"/>
    <w:rsid w:val="5CC46711"/>
    <w:rsid w:val="5CCB44AB"/>
    <w:rsid w:val="5CCD4603"/>
    <w:rsid w:val="5CD036BE"/>
    <w:rsid w:val="5CDD5A24"/>
    <w:rsid w:val="5CE40B61"/>
    <w:rsid w:val="5CF158BA"/>
    <w:rsid w:val="5CF30737"/>
    <w:rsid w:val="5D04357E"/>
    <w:rsid w:val="5D072AA1"/>
    <w:rsid w:val="5D0E3E30"/>
    <w:rsid w:val="5D170F36"/>
    <w:rsid w:val="5D1C479E"/>
    <w:rsid w:val="5D234A56"/>
    <w:rsid w:val="5D2C1EEF"/>
    <w:rsid w:val="5D302934"/>
    <w:rsid w:val="5D3715D8"/>
    <w:rsid w:val="5D375134"/>
    <w:rsid w:val="5D382C9A"/>
    <w:rsid w:val="5D662A4E"/>
    <w:rsid w:val="5D6D6DA8"/>
    <w:rsid w:val="5D7579F0"/>
    <w:rsid w:val="5D786705"/>
    <w:rsid w:val="5D7A7717"/>
    <w:rsid w:val="5D8E3701"/>
    <w:rsid w:val="5D964551"/>
    <w:rsid w:val="5D9E3405"/>
    <w:rsid w:val="5DA17670"/>
    <w:rsid w:val="5DDF5471"/>
    <w:rsid w:val="5DE74DAC"/>
    <w:rsid w:val="5DF11787"/>
    <w:rsid w:val="5E0B19B1"/>
    <w:rsid w:val="5E2751A9"/>
    <w:rsid w:val="5E2F1BA8"/>
    <w:rsid w:val="5E363B3B"/>
    <w:rsid w:val="5E37408E"/>
    <w:rsid w:val="5E3873B6"/>
    <w:rsid w:val="5E3E4CD1"/>
    <w:rsid w:val="5E413D91"/>
    <w:rsid w:val="5E59732C"/>
    <w:rsid w:val="5E602490"/>
    <w:rsid w:val="5E61775F"/>
    <w:rsid w:val="5E850121"/>
    <w:rsid w:val="5E8F3DCD"/>
    <w:rsid w:val="5E9F0257"/>
    <w:rsid w:val="5ED12060"/>
    <w:rsid w:val="5ED2780B"/>
    <w:rsid w:val="5ED4401C"/>
    <w:rsid w:val="5EE118E2"/>
    <w:rsid w:val="5EE65467"/>
    <w:rsid w:val="5EF64B7B"/>
    <w:rsid w:val="5EF7101F"/>
    <w:rsid w:val="5F021772"/>
    <w:rsid w:val="5F0E45BB"/>
    <w:rsid w:val="5F136B71"/>
    <w:rsid w:val="5F180F96"/>
    <w:rsid w:val="5F1A6ABC"/>
    <w:rsid w:val="5F217E4A"/>
    <w:rsid w:val="5F2B0CC9"/>
    <w:rsid w:val="5F34491B"/>
    <w:rsid w:val="5F3B6A32"/>
    <w:rsid w:val="5F3C5A50"/>
    <w:rsid w:val="5F3D48D0"/>
    <w:rsid w:val="5F6B5F12"/>
    <w:rsid w:val="5F6D7533"/>
    <w:rsid w:val="5F7F7267"/>
    <w:rsid w:val="5F82431C"/>
    <w:rsid w:val="5F864FE0"/>
    <w:rsid w:val="5F906D7E"/>
    <w:rsid w:val="5FA36AB1"/>
    <w:rsid w:val="5FB05672"/>
    <w:rsid w:val="5FBA6C46"/>
    <w:rsid w:val="5FC66889"/>
    <w:rsid w:val="5FDC0215"/>
    <w:rsid w:val="5FDD440C"/>
    <w:rsid w:val="5FDE5D3B"/>
    <w:rsid w:val="5FEB2CC1"/>
    <w:rsid w:val="5FFA438F"/>
    <w:rsid w:val="5FFE018B"/>
    <w:rsid w:val="5FFE462F"/>
    <w:rsid w:val="6000616F"/>
    <w:rsid w:val="600215CD"/>
    <w:rsid w:val="6008725C"/>
    <w:rsid w:val="60116111"/>
    <w:rsid w:val="60194FC5"/>
    <w:rsid w:val="601C57A4"/>
    <w:rsid w:val="602C2F4B"/>
    <w:rsid w:val="603069A0"/>
    <w:rsid w:val="60327E35"/>
    <w:rsid w:val="60690D46"/>
    <w:rsid w:val="606E3563"/>
    <w:rsid w:val="6071095D"/>
    <w:rsid w:val="607647DF"/>
    <w:rsid w:val="6082700E"/>
    <w:rsid w:val="60877B41"/>
    <w:rsid w:val="608F7035"/>
    <w:rsid w:val="609603C4"/>
    <w:rsid w:val="609E1DB9"/>
    <w:rsid w:val="60A24FBB"/>
    <w:rsid w:val="60A56859"/>
    <w:rsid w:val="60AF1486"/>
    <w:rsid w:val="60BB42CE"/>
    <w:rsid w:val="60BF04C9"/>
    <w:rsid w:val="60D01E8A"/>
    <w:rsid w:val="60D4713E"/>
    <w:rsid w:val="60D809DC"/>
    <w:rsid w:val="60E2185B"/>
    <w:rsid w:val="60EC092C"/>
    <w:rsid w:val="60F203B9"/>
    <w:rsid w:val="60FF41BB"/>
    <w:rsid w:val="61153290"/>
    <w:rsid w:val="611A7DDF"/>
    <w:rsid w:val="61236D3F"/>
    <w:rsid w:val="61241E74"/>
    <w:rsid w:val="61265BEC"/>
    <w:rsid w:val="61291238"/>
    <w:rsid w:val="61362A45"/>
    <w:rsid w:val="614358CF"/>
    <w:rsid w:val="6147112D"/>
    <w:rsid w:val="61511552"/>
    <w:rsid w:val="615D5386"/>
    <w:rsid w:val="61734BA9"/>
    <w:rsid w:val="61742C47"/>
    <w:rsid w:val="61812E22"/>
    <w:rsid w:val="61846F39"/>
    <w:rsid w:val="619864F8"/>
    <w:rsid w:val="619D38A3"/>
    <w:rsid w:val="61A1534E"/>
    <w:rsid w:val="61A82DDF"/>
    <w:rsid w:val="61B8034C"/>
    <w:rsid w:val="61C044BC"/>
    <w:rsid w:val="61C13B66"/>
    <w:rsid w:val="61CA2C9B"/>
    <w:rsid w:val="61D03DA9"/>
    <w:rsid w:val="61D75732"/>
    <w:rsid w:val="61F96E5C"/>
    <w:rsid w:val="61FA24F0"/>
    <w:rsid w:val="62067A5E"/>
    <w:rsid w:val="620D3E17"/>
    <w:rsid w:val="620E61C8"/>
    <w:rsid w:val="621B3C7D"/>
    <w:rsid w:val="6222429B"/>
    <w:rsid w:val="622B1BB8"/>
    <w:rsid w:val="622E6349"/>
    <w:rsid w:val="62370CCE"/>
    <w:rsid w:val="623F5B8B"/>
    <w:rsid w:val="62654E3D"/>
    <w:rsid w:val="627610D2"/>
    <w:rsid w:val="627C183B"/>
    <w:rsid w:val="628030DA"/>
    <w:rsid w:val="62827F6A"/>
    <w:rsid w:val="62877EF5"/>
    <w:rsid w:val="62926298"/>
    <w:rsid w:val="62A3326C"/>
    <w:rsid w:val="62B611F1"/>
    <w:rsid w:val="62CA0F14"/>
    <w:rsid w:val="62CA25A7"/>
    <w:rsid w:val="62DB47B4"/>
    <w:rsid w:val="62E713AB"/>
    <w:rsid w:val="62EC7A79"/>
    <w:rsid w:val="63136DCF"/>
    <w:rsid w:val="6315416A"/>
    <w:rsid w:val="633B5253"/>
    <w:rsid w:val="633C3242"/>
    <w:rsid w:val="63424833"/>
    <w:rsid w:val="6347009B"/>
    <w:rsid w:val="634C4285"/>
    <w:rsid w:val="635C3B47"/>
    <w:rsid w:val="6361115D"/>
    <w:rsid w:val="63645D36"/>
    <w:rsid w:val="636B2B77"/>
    <w:rsid w:val="636B5B38"/>
    <w:rsid w:val="637075F2"/>
    <w:rsid w:val="63770981"/>
    <w:rsid w:val="637C5F97"/>
    <w:rsid w:val="638B442C"/>
    <w:rsid w:val="6391034D"/>
    <w:rsid w:val="6397692D"/>
    <w:rsid w:val="63997DBC"/>
    <w:rsid w:val="639B46F8"/>
    <w:rsid w:val="63A70B3A"/>
    <w:rsid w:val="63AB43E3"/>
    <w:rsid w:val="63B22BB5"/>
    <w:rsid w:val="63B75C97"/>
    <w:rsid w:val="63C25535"/>
    <w:rsid w:val="63D60E71"/>
    <w:rsid w:val="63E1229E"/>
    <w:rsid w:val="63E94CAF"/>
    <w:rsid w:val="63FC2C34"/>
    <w:rsid w:val="642A16BC"/>
    <w:rsid w:val="642A1C97"/>
    <w:rsid w:val="642A2302"/>
    <w:rsid w:val="64394620"/>
    <w:rsid w:val="643B37CC"/>
    <w:rsid w:val="64431EAE"/>
    <w:rsid w:val="644B67C8"/>
    <w:rsid w:val="644E5AB2"/>
    <w:rsid w:val="645268DD"/>
    <w:rsid w:val="645312BC"/>
    <w:rsid w:val="64607667"/>
    <w:rsid w:val="64683DEB"/>
    <w:rsid w:val="646F1658"/>
    <w:rsid w:val="64722EF6"/>
    <w:rsid w:val="64727521"/>
    <w:rsid w:val="64763410"/>
    <w:rsid w:val="647E189B"/>
    <w:rsid w:val="64800940"/>
    <w:rsid w:val="64873D5C"/>
    <w:rsid w:val="64925346"/>
    <w:rsid w:val="64A03DD8"/>
    <w:rsid w:val="64A37553"/>
    <w:rsid w:val="64AF5EF8"/>
    <w:rsid w:val="64BA1360"/>
    <w:rsid w:val="64CC6AAA"/>
    <w:rsid w:val="64D21BE7"/>
    <w:rsid w:val="64D23995"/>
    <w:rsid w:val="64D93CB0"/>
    <w:rsid w:val="64E2007C"/>
    <w:rsid w:val="64F47684"/>
    <w:rsid w:val="64F9317A"/>
    <w:rsid w:val="65000502"/>
    <w:rsid w:val="6500296B"/>
    <w:rsid w:val="6502427A"/>
    <w:rsid w:val="650D632D"/>
    <w:rsid w:val="65165F77"/>
    <w:rsid w:val="651812D0"/>
    <w:rsid w:val="65200BA4"/>
    <w:rsid w:val="65206DF6"/>
    <w:rsid w:val="65257F68"/>
    <w:rsid w:val="654523B9"/>
    <w:rsid w:val="65496BE1"/>
    <w:rsid w:val="654B3E73"/>
    <w:rsid w:val="65520088"/>
    <w:rsid w:val="65554CF2"/>
    <w:rsid w:val="65586590"/>
    <w:rsid w:val="655A2308"/>
    <w:rsid w:val="655C4344"/>
    <w:rsid w:val="6569254B"/>
    <w:rsid w:val="657038D9"/>
    <w:rsid w:val="657D3E03"/>
    <w:rsid w:val="657F3C3F"/>
    <w:rsid w:val="658605EC"/>
    <w:rsid w:val="65960E66"/>
    <w:rsid w:val="65B0017A"/>
    <w:rsid w:val="65B512EC"/>
    <w:rsid w:val="65BA2441"/>
    <w:rsid w:val="65BA4B55"/>
    <w:rsid w:val="65C23A02"/>
    <w:rsid w:val="65C37EAD"/>
    <w:rsid w:val="65C97C47"/>
    <w:rsid w:val="65CB6D62"/>
    <w:rsid w:val="65F953FE"/>
    <w:rsid w:val="65FC4000"/>
    <w:rsid w:val="660404C6"/>
    <w:rsid w:val="660978B5"/>
    <w:rsid w:val="661C18F7"/>
    <w:rsid w:val="66264CC7"/>
    <w:rsid w:val="66320B8F"/>
    <w:rsid w:val="66563472"/>
    <w:rsid w:val="666D7E19"/>
    <w:rsid w:val="66722175"/>
    <w:rsid w:val="66742F55"/>
    <w:rsid w:val="667E2CF0"/>
    <w:rsid w:val="668533B4"/>
    <w:rsid w:val="66881412"/>
    <w:rsid w:val="66902A5A"/>
    <w:rsid w:val="669216A7"/>
    <w:rsid w:val="6699516A"/>
    <w:rsid w:val="66AA3E11"/>
    <w:rsid w:val="66AB26EF"/>
    <w:rsid w:val="66BF12DF"/>
    <w:rsid w:val="66CCFFBA"/>
    <w:rsid w:val="66CD08B8"/>
    <w:rsid w:val="66D41C46"/>
    <w:rsid w:val="66D50CAE"/>
    <w:rsid w:val="66DA3FFA"/>
    <w:rsid w:val="66DB33DB"/>
    <w:rsid w:val="66E8749F"/>
    <w:rsid w:val="67002A3B"/>
    <w:rsid w:val="67065B78"/>
    <w:rsid w:val="670A6CEB"/>
    <w:rsid w:val="67145898"/>
    <w:rsid w:val="6718083B"/>
    <w:rsid w:val="671B7875"/>
    <w:rsid w:val="671F2CA2"/>
    <w:rsid w:val="672101E2"/>
    <w:rsid w:val="67220C03"/>
    <w:rsid w:val="672C3830"/>
    <w:rsid w:val="67332B22"/>
    <w:rsid w:val="673B1CC5"/>
    <w:rsid w:val="6741564F"/>
    <w:rsid w:val="67430B7A"/>
    <w:rsid w:val="67492634"/>
    <w:rsid w:val="677B477D"/>
    <w:rsid w:val="6789494D"/>
    <w:rsid w:val="67A140B9"/>
    <w:rsid w:val="67A55390"/>
    <w:rsid w:val="67B332B3"/>
    <w:rsid w:val="67BF6452"/>
    <w:rsid w:val="67D808FF"/>
    <w:rsid w:val="67D82F2F"/>
    <w:rsid w:val="67DF6798"/>
    <w:rsid w:val="67E76840"/>
    <w:rsid w:val="67F46667"/>
    <w:rsid w:val="67FB3941"/>
    <w:rsid w:val="67FB59E2"/>
    <w:rsid w:val="680A459D"/>
    <w:rsid w:val="68177FFE"/>
    <w:rsid w:val="68273FF7"/>
    <w:rsid w:val="682C160E"/>
    <w:rsid w:val="682F2399"/>
    <w:rsid w:val="6832131A"/>
    <w:rsid w:val="683A6E48"/>
    <w:rsid w:val="683E7CBF"/>
    <w:rsid w:val="685F3791"/>
    <w:rsid w:val="686A409C"/>
    <w:rsid w:val="686F6B51"/>
    <w:rsid w:val="687A05CB"/>
    <w:rsid w:val="688050A1"/>
    <w:rsid w:val="68833924"/>
    <w:rsid w:val="68940B40"/>
    <w:rsid w:val="68A13DAA"/>
    <w:rsid w:val="68CD4B9F"/>
    <w:rsid w:val="68D6373E"/>
    <w:rsid w:val="68E42868"/>
    <w:rsid w:val="68E853B1"/>
    <w:rsid w:val="68F22857"/>
    <w:rsid w:val="68F91E38"/>
    <w:rsid w:val="690757FD"/>
    <w:rsid w:val="69076FCD"/>
    <w:rsid w:val="691251C6"/>
    <w:rsid w:val="69151074"/>
    <w:rsid w:val="69166F99"/>
    <w:rsid w:val="691C1682"/>
    <w:rsid w:val="69362744"/>
    <w:rsid w:val="693E784B"/>
    <w:rsid w:val="69441F11"/>
    <w:rsid w:val="6949289B"/>
    <w:rsid w:val="6949691B"/>
    <w:rsid w:val="694D5CE0"/>
    <w:rsid w:val="69513A22"/>
    <w:rsid w:val="6954706E"/>
    <w:rsid w:val="69596D17"/>
    <w:rsid w:val="699021C4"/>
    <w:rsid w:val="699A3401"/>
    <w:rsid w:val="699D0A15"/>
    <w:rsid w:val="69A905A9"/>
    <w:rsid w:val="69AE677E"/>
    <w:rsid w:val="69C2047C"/>
    <w:rsid w:val="69CD0A61"/>
    <w:rsid w:val="69CF435F"/>
    <w:rsid w:val="69D501AF"/>
    <w:rsid w:val="69D72179"/>
    <w:rsid w:val="69DE36F5"/>
    <w:rsid w:val="69E20B1E"/>
    <w:rsid w:val="69F61ED3"/>
    <w:rsid w:val="6A002D52"/>
    <w:rsid w:val="6A024D1C"/>
    <w:rsid w:val="6A0E74C1"/>
    <w:rsid w:val="6A1605F7"/>
    <w:rsid w:val="6A1862EE"/>
    <w:rsid w:val="6A1A691F"/>
    <w:rsid w:val="6A2133F4"/>
    <w:rsid w:val="6A214E2F"/>
    <w:rsid w:val="6A2D7FEB"/>
    <w:rsid w:val="6A31115D"/>
    <w:rsid w:val="6A33268F"/>
    <w:rsid w:val="6A364C47"/>
    <w:rsid w:val="6A4315BC"/>
    <w:rsid w:val="6A570BC4"/>
    <w:rsid w:val="6A615CF3"/>
    <w:rsid w:val="6A694D9B"/>
    <w:rsid w:val="6A7A4F29"/>
    <w:rsid w:val="6A841BD5"/>
    <w:rsid w:val="6A86453E"/>
    <w:rsid w:val="6A8E5399"/>
    <w:rsid w:val="6A9811DC"/>
    <w:rsid w:val="6AAE081D"/>
    <w:rsid w:val="6AAF35EE"/>
    <w:rsid w:val="6AB029CA"/>
    <w:rsid w:val="6ABC72FB"/>
    <w:rsid w:val="6AC16985"/>
    <w:rsid w:val="6AC41FD2"/>
    <w:rsid w:val="6AC67826"/>
    <w:rsid w:val="6AD82A97"/>
    <w:rsid w:val="6ADE93D8"/>
    <w:rsid w:val="6AE50052"/>
    <w:rsid w:val="6AEA1F68"/>
    <w:rsid w:val="6AED777A"/>
    <w:rsid w:val="6AF6662F"/>
    <w:rsid w:val="6AF8242A"/>
    <w:rsid w:val="6B047FB0"/>
    <w:rsid w:val="6B0773BB"/>
    <w:rsid w:val="6B0F0100"/>
    <w:rsid w:val="6B120F8F"/>
    <w:rsid w:val="6B141D4A"/>
    <w:rsid w:val="6B2036AC"/>
    <w:rsid w:val="6B216E94"/>
    <w:rsid w:val="6B301415"/>
    <w:rsid w:val="6B353818"/>
    <w:rsid w:val="6B3D5783"/>
    <w:rsid w:val="6B4849B1"/>
    <w:rsid w:val="6B4D0219"/>
    <w:rsid w:val="6B525809"/>
    <w:rsid w:val="6B540E94"/>
    <w:rsid w:val="6B657311"/>
    <w:rsid w:val="6B7C465A"/>
    <w:rsid w:val="6B923E7E"/>
    <w:rsid w:val="6B924DC4"/>
    <w:rsid w:val="6B93063C"/>
    <w:rsid w:val="6B9E0A74"/>
    <w:rsid w:val="6BBF2EC5"/>
    <w:rsid w:val="6BC70BA4"/>
    <w:rsid w:val="6BCF0C2E"/>
    <w:rsid w:val="6BD70390"/>
    <w:rsid w:val="6BFF1513"/>
    <w:rsid w:val="6BFF59B7"/>
    <w:rsid w:val="6C092392"/>
    <w:rsid w:val="6C0E1756"/>
    <w:rsid w:val="6C132632"/>
    <w:rsid w:val="6C2076DB"/>
    <w:rsid w:val="6C3A254B"/>
    <w:rsid w:val="6C3C19F2"/>
    <w:rsid w:val="6C437218"/>
    <w:rsid w:val="6C4B421E"/>
    <w:rsid w:val="6C5630FD"/>
    <w:rsid w:val="6C5A3DA2"/>
    <w:rsid w:val="6C621AA2"/>
    <w:rsid w:val="6C6A06A8"/>
    <w:rsid w:val="6C6B5545"/>
    <w:rsid w:val="6C8213F8"/>
    <w:rsid w:val="6C9879BF"/>
    <w:rsid w:val="6CA64040"/>
    <w:rsid w:val="6CA80EDB"/>
    <w:rsid w:val="6CC462B9"/>
    <w:rsid w:val="6CD04C5E"/>
    <w:rsid w:val="6CD26C28"/>
    <w:rsid w:val="6CD66551"/>
    <w:rsid w:val="6CD66913"/>
    <w:rsid w:val="6CD75FEC"/>
    <w:rsid w:val="6CE87A65"/>
    <w:rsid w:val="6CF7668E"/>
    <w:rsid w:val="6CFE5C6F"/>
    <w:rsid w:val="6D0D1A0E"/>
    <w:rsid w:val="6D125276"/>
    <w:rsid w:val="6D150B3A"/>
    <w:rsid w:val="6D156B14"/>
    <w:rsid w:val="6D1A3CAC"/>
    <w:rsid w:val="6D1D4A96"/>
    <w:rsid w:val="6D2D3E5E"/>
    <w:rsid w:val="6D3520E9"/>
    <w:rsid w:val="6D3E3CDE"/>
    <w:rsid w:val="6D594F0D"/>
    <w:rsid w:val="6D761CA9"/>
    <w:rsid w:val="6D855A48"/>
    <w:rsid w:val="6D8E48E5"/>
    <w:rsid w:val="6D96673C"/>
    <w:rsid w:val="6D980001"/>
    <w:rsid w:val="6DB212CD"/>
    <w:rsid w:val="6DB57B2F"/>
    <w:rsid w:val="6DB957D2"/>
    <w:rsid w:val="6DBE53FE"/>
    <w:rsid w:val="6DD53383"/>
    <w:rsid w:val="6DDA2238"/>
    <w:rsid w:val="6DDD3E00"/>
    <w:rsid w:val="6DDE15FC"/>
    <w:rsid w:val="6DE90DC0"/>
    <w:rsid w:val="6DF36E56"/>
    <w:rsid w:val="6DF96429"/>
    <w:rsid w:val="6DFF018B"/>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E36E5"/>
    <w:rsid w:val="6E945956"/>
    <w:rsid w:val="6E9F1B60"/>
    <w:rsid w:val="6EA14B04"/>
    <w:rsid w:val="6EA832E3"/>
    <w:rsid w:val="6EAB023F"/>
    <w:rsid w:val="6EC261E0"/>
    <w:rsid w:val="6ED76777"/>
    <w:rsid w:val="6ED9396B"/>
    <w:rsid w:val="6EDB91D1"/>
    <w:rsid w:val="6EEA2E3D"/>
    <w:rsid w:val="6EF9081B"/>
    <w:rsid w:val="6F057012"/>
    <w:rsid w:val="6F176B74"/>
    <w:rsid w:val="6F205386"/>
    <w:rsid w:val="6F356686"/>
    <w:rsid w:val="6F3A0AB4"/>
    <w:rsid w:val="6F451E31"/>
    <w:rsid w:val="6F4D4C8B"/>
    <w:rsid w:val="6F4E0370"/>
    <w:rsid w:val="6F4F7B98"/>
    <w:rsid w:val="6F5953DE"/>
    <w:rsid w:val="6F645123"/>
    <w:rsid w:val="6F6551A2"/>
    <w:rsid w:val="6F67449E"/>
    <w:rsid w:val="6F6B6EC0"/>
    <w:rsid w:val="6F887A72"/>
    <w:rsid w:val="6F963F3C"/>
    <w:rsid w:val="6F99422C"/>
    <w:rsid w:val="6FA128E1"/>
    <w:rsid w:val="6FA50623"/>
    <w:rsid w:val="6FB70357"/>
    <w:rsid w:val="6FF00C7D"/>
    <w:rsid w:val="6FF9170D"/>
    <w:rsid w:val="6FFC002F"/>
    <w:rsid w:val="700442D0"/>
    <w:rsid w:val="702F4391"/>
    <w:rsid w:val="7036127C"/>
    <w:rsid w:val="704020FA"/>
    <w:rsid w:val="70476155"/>
    <w:rsid w:val="7056191E"/>
    <w:rsid w:val="705A140E"/>
    <w:rsid w:val="70726E22"/>
    <w:rsid w:val="7075168E"/>
    <w:rsid w:val="707A560C"/>
    <w:rsid w:val="707F2C23"/>
    <w:rsid w:val="70862203"/>
    <w:rsid w:val="708E7050"/>
    <w:rsid w:val="709C7E67"/>
    <w:rsid w:val="709D1CA5"/>
    <w:rsid w:val="70AB3A18"/>
    <w:rsid w:val="70B054D2"/>
    <w:rsid w:val="70CB1283"/>
    <w:rsid w:val="70D25A5B"/>
    <w:rsid w:val="70D72A5F"/>
    <w:rsid w:val="70E4097B"/>
    <w:rsid w:val="70E64A50"/>
    <w:rsid w:val="70EF44D3"/>
    <w:rsid w:val="70FC24C5"/>
    <w:rsid w:val="71083D8C"/>
    <w:rsid w:val="710D6CF6"/>
    <w:rsid w:val="710E2334"/>
    <w:rsid w:val="7113776B"/>
    <w:rsid w:val="71372356"/>
    <w:rsid w:val="713734FD"/>
    <w:rsid w:val="713D6D3A"/>
    <w:rsid w:val="714D11BD"/>
    <w:rsid w:val="714F2E0B"/>
    <w:rsid w:val="71570DA3"/>
    <w:rsid w:val="7157594D"/>
    <w:rsid w:val="71665B90"/>
    <w:rsid w:val="7170065C"/>
    <w:rsid w:val="71722787"/>
    <w:rsid w:val="71791D68"/>
    <w:rsid w:val="71797A41"/>
    <w:rsid w:val="717E441A"/>
    <w:rsid w:val="71885DD2"/>
    <w:rsid w:val="718D75C1"/>
    <w:rsid w:val="71904F9D"/>
    <w:rsid w:val="71AF5789"/>
    <w:rsid w:val="71BB41D0"/>
    <w:rsid w:val="71BC02E9"/>
    <w:rsid w:val="71BD4B42"/>
    <w:rsid w:val="71C81208"/>
    <w:rsid w:val="71CA5696"/>
    <w:rsid w:val="71CE6D52"/>
    <w:rsid w:val="71DB6C48"/>
    <w:rsid w:val="71DF5587"/>
    <w:rsid w:val="71E60A6E"/>
    <w:rsid w:val="71FC1C33"/>
    <w:rsid w:val="72133F6A"/>
    <w:rsid w:val="72163DE3"/>
    <w:rsid w:val="72165809"/>
    <w:rsid w:val="721E67E4"/>
    <w:rsid w:val="725D3437"/>
    <w:rsid w:val="726148AD"/>
    <w:rsid w:val="726B40B8"/>
    <w:rsid w:val="726D0CA5"/>
    <w:rsid w:val="7273387F"/>
    <w:rsid w:val="72785291"/>
    <w:rsid w:val="727C2292"/>
    <w:rsid w:val="72822E9E"/>
    <w:rsid w:val="72A11576"/>
    <w:rsid w:val="72B119C3"/>
    <w:rsid w:val="72B5672A"/>
    <w:rsid w:val="72B62B48"/>
    <w:rsid w:val="72C8395B"/>
    <w:rsid w:val="72E66F89"/>
    <w:rsid w:val="72EC65AF"/>
    <w:rsid w:val="72F2278C"/>
    <w:rsid w:val="732B0E40"/>
    <w:rsid w:val="732B567B"/>
    <w:rsid w:val="732E489D"/>
    <w:rsid w:val="7338355D"/>
    <w:rsid w:val="7346094E"/>
    <w:rsid w:val="734819F2"/>
    <w:rsid w:val="734F621E"/>
    <w:rsid w:val="73532145"/>
    <w:rsid w:val="73677D96"/>
    <w:rsid w:val="73813156"/>
    <w:rsid w:val="73871051"/>
    <w:rsid w:val="738B39A0"/>
    <w:rsid w:val="738C4864"/>
    <w:rsid w:val="739F35DC"/>
    <w:rsid w:val="73B34DDE"/>
    <w:rsid w:val="73C438CD"/>
    <w:rsid w:val="73D204C6"/>
    <w:rsid w:val="73D4547C"/>
    <w:rsid w:val="73D57717"/>
    <w:rsid w:val="73D95504"/>
    <w:rsid w:val="73DD0602"/>
    <w:rsid w:val="73E21E46"/>
    <w:rsid w:val="73F13E37"/>
    <w:rsid w:val="73F751C6"/>
    <w:rsid w:val="73FD0DF5"/>
    <w:rsid w:val="73FD56F3"/>
    <w:rsid w:val="74063B36"/>
    <w:rsid w:val="741C69DA"/>
    <w:rsid w:val="742064CB"/>
    <w:rsid w:val="74220495"/>
    <w:rsid w:val="74257F85"/>
    <w:rsid w:val="743261FE"/>
    <w:rsid w:val="744C5512"/>
    <w:rsid w:val="74626BBA"/>
    <w:rsid w:val="747351D5"/>
    <w:rsid w:val="748C4390"/>
    <w:rsid w:val="74AA048A"/>
    <w:rsid w:val="74AF784E"/>
    <w:rsid w:val="74B3656E"/>
    <w:rsid w:val="74C76728"/>
    <w:rsid w:val="74DD616A"/>
    <w:rsid w:val="74F82FA3"/>
    <w:rsid w:val="75107BA5"/>
    <w:rsid w:val="7530273D"/>
    <w:rsid w:val="7535244A"/>
    <w:rsid w:val="753C5586"/>
    <w:rsid w:val="75463962"/>
    <w:rsid w:val="754A5259"/>
    <w:rsid w:val="75556648"/>
    <w:rsid w:val="755A3C5E"/>
    <w:rsid w:val="755C13AB"/>
    <w:rsid w:val="756728EB"/>
    <w:rsid w:val="7568637B"/>
    <w:rsid w:val="757D1493"/>
    <w:rsid w:val="75805AAF"/>
    <w:rsid w:val="758C42E8"/>
    <w:rsid w:val="758D193E"/>
    <w:rsid w:val="759A04FF"/>
    <w:rsid w:val="75A16F23"/>
    <w:rsid w:val="75A373B3"/>
    <w:rsid w:val="75A82C1C"/>
    <w:rsid w:val="75C15A8B"/>
    <w:rsid w:val="75C56285"/>
    <w:rsid w:val="75C94940"/>
    <w:rsid w:val="75D47A6F"/>
    <w:rsid w:val="75E654F2"/>
    <w:rsid w:val="75E8126A"/>
    <w:rsid w:val="75F257F1"/>
    <w:rsid w:val="75F47B98"/>
    <w:rsid w:val="7601232C"/>
    <w:rsid w:val="7604186E"/>
    <w:rsid w:val="760F4D23"/>
    <w:rsid w:val="76165DD7"/>
    <w:rsid w:val="762A1882"/>
    <w:rsid w:val="762D1373"/>
    <w:rsid w:val="76360227"/>
    <w:rsid w:val="763C5112"/>
    <w:rsid w:val="763D108C"/>
    <w:rsid w:val="76450948"/>
    <w:rsid w:val="7652484D"/>
    <w:rsid w:val="766D176F"/>
    <w:rsid w:val="767C19B2"/>
    <w:rsid w:val="767D7C04"/>
    <w:rsid w:val="767E5FFC"/>
    <w:rsid w:val="768044A1"/>
    <w:rsid w:val="76830F5B"/>
    <w:rsid w:val="76880357"/>
    <w:rsid w:val="76984A3E"/>
    <w:rsid w:val="76AB7E3B"/>
    <w:rsid w:val="76AE6010"/>
    <w:rsid w:val="76B92C06"/>
    <w:rsid w:val="76C45833"/>
    <w:rsid w:val="76CF6212"/>
    <w:rsid w:val="76D4359C"/>
    <w:rsid w:val="76E47C83"/>
    <w:rsid w:val="76E75385"/>
    <w:rsid w:val="76F12B5E"/>
    <w:rsid w:val="76F31C74"/>
    <w:rsid w:val="76F605C0"/>
    <w:rsid w:val="7709593C"/>
    <w:rsid w:val="770C371E"/>
    <w:rsid w:val="770E4D00"/>
    <w:rsid w:val="772122DC"/>
    <w:rsid w:val="772B1BE0"/>
    <w:rsid w:val="772C79CC"/>
    <w:rsid w:val="77367FC0"/>
    <w:rsid w:val="774F73DF"/>
    <w:rsid w:val="77552B9A"/>
    <w:rsid w:val="77553AAA"/>
    <w:rsid w:val="776361D8"/>
    <w:rsid w:val="77686F5C"/>
    <w:rsid w:val="776B4E89"/>
    <w:rsid w:val="776C3003"/>
    <w:rsid w:val="777FBDD6"/>
    <w:rsid w:val="77811976"/>
    <w:rsid w:val="77894387"/>
    <w:rsid w:val="77A954AE"/>
    <w:rsid w:val="77B91110"/>
    <w:rsid w:val="77BF249E"/>
    <w:rsid w:val="77C11D73"/>
    <w:rsid w:val="77E12415"/>
    <w:rsid w:val="77E335B4"/>
    <w:rsid w:val="77F751FE"/>
    <w:rsid w:val="78061E7B"/>
    <w:rsid w:val="78085B29"/>
    <w:rsid w:val="780879A1"/>
    <w:rsid w:val="781A76D5"/>
    <w:rsid w:val="782559BF"/>
    <w:rsid w:val="78292927"/>
    <w:rsid w:val="782B6988"/>
    <w:rsid w:val="782E08F1"/>
    <w:rsid w:val="78361C89"/>
    <w:rsid w:val="783C3374"/>
    <w:rsid w:val="784235D4"/>
    <w:rsid w:val="784B13D5"/>
    <w:rsid w:val="7855070D"/>
    <w:rsid w:val="785706F8"/>
    <w:rsid w:val="78570929"/>
    <w:rsid w:val="785B27BD"/>
    <w:rsid w:val="786848E1"/>
    <w:rsid w:val="786A065C"/>
    <w:rsid w:val="7877282E"/>
    <w:rsid w:val="7877673D"/>
    <w:rsid w:val="7879264D"/>
    <w:rsid w:val="78882890"/>
    <w:rsid w:val="789D678E"/>
    <w:rsid w:val="78A156B1"/>
    <w:rsid w:val="78A212A9"/>
    <w:rsid w:val="78AA7977"/>
    <w:rsid w:val="78AF212D"/>
    <w:rsid w:val="78B9350A"/>
    <w:rsid w:val="78BE5338"/>
    <w:rsid w:val="78C57641"/>
    <w:rsid w:val="78DA1C7E"/>
    <w:rsid w:val="78DD498A"/>
    <w:rsid w:val="78E57A75"/>
    <w:rsid w:val="78F10436"/>
    <w:rsid w:val="78FB0617"/>
    <w:rsid w:val="78FD327E"/>
    <w:rsid w:val="79206F6D"/>
    <w:rsid w:val="792425B9"/>
    <w:rsid w:val="793074A6"/>
    <w:rsid w:val="79312F28"/>
    <w:rsid w:val="79336CA0"/>
    <w:rsid w:val="79440EAD"/>
    <w:rsid w:val="7953282C"/>
    <w:rsid w:val="79534A2E"/>
    <w:rsid w:val="79646E59"/>
    <w:rsid w:val="796B01E8"/>
    <w:rsid w:val="797058BB"/>
    <w:rsid w:val="7973709D"/>
    <w:rsid w:val="797A2B65"/>
    <w:rsid w:val="797B75B8"/>
    <w:rsid w:val="79BD47BC"/>
    <w:rsid w:val="79C03657"/>
    <w:rsid w:val="79CC49FF"/>
    <w:rsid w:val="79CC6228"/>
    <w:rsid w:val="79D12015"/>
    <w:rsid w:val="79D26BE3"/>
    <w:rsid w:val="79E104AA"/>
    <w:rsid w:val="79E9392D"/>
    <w:rsid w:val="79EB1329"/>
    <w:rsid w:val="79FD5419"/>
    <w:rsid w:val="7A0348C4"/>
    <w:rsid w:val="7A0B3779"/>
    <w:rsid w:val="7A106FE1"/>
    <w:rsid w:val="7A124B07"/>
    <w:rsid w:val="7A144F09"/>
    <w:rsid w:val="7A1C7A6B"/>
    <w:rsid w:val="7A21395B"/>
    <w:rsid w:val="7A2860D9"/>
    <w:rsid w:val="7A2B3E1B"/>
    <w:rsid w:val="7A385EE3"/>
    <w:rsid w:val="7A46050B"/>
    <w:rsid w:val="7A4B626B"/>
    <w:rsid w:val="7A7237F8"/>
    <w:rsid w:val="7A780ECF"/>
    <w:rsid w:val="7A7F3524"/>
    <w:rsid w:val="7A845D87"/>
    <w:rsid w:val="7A886B78"/>
    <w:rsid w:val="7A904F95"/>
    <w:rsid w:val="7A9E283F"/>
    <w:rsid w:val="7AA023CB"/>
    <w:rsid w:val="7AA62872"/>
    <w:rsid w:val="7AB636E5"/>
    <w:rsid w:val="7AB94F83"/>
    <w:rsid w:val="7ABE4C8F"/>
    <w:rsid w:val="7AC8166A"/>
    <w:rsid w:val="7AC83572"/>
    <w:rsid w:val="7ACB3368"/>
    <w:rsid w:val="7AE364A4"/>
    <w:rsid w:val="7AE8553D"/>
    <w:rsid w:val="7AF34939"/>
    <w:rsid w:val="7AF4245F"/>
    <w:rsid w:val="7AFC08CD"/>
    <w:rsid w:val="7B0408F4"/>
    <w:rsid w:val="7B0E7C5F"/>
    <w:rsid w:val="7B160627"/>
    <w:rsid w:val="7B193C74"/>
    <w:rsid w:val="7B1979AB"/>
    <w:rsid w:val="7B1C1F1F"/>
    <w:rsid w:val="7B373D22"/>
    <w:rsid w:val="7B4E7899"/>
    <w:rsid w:val="7B5F5B2A"/>
    <w:rsid w:val="7B7610C6"/>
    <w:rsid w:val="7B785778"/>
    <w:rsid w:val="7B7B101C"/>
    <w:rsid w:val="7B892F1E"/>
    <w:rsid w:val="7B8C08E9"/>
    <w:rsid w:val="7B917CAE"/>
    <w:rsid w:val="7BB3231A"/>
    <w:rsid w:val="7BB6749A"/>
    <w:rsid w:val="7BB8348D"/>
    <w:rsid w:val="7BBA5457"/>
    <w:rsid w:val="7BD858DD"/>
    <w:rsid w:val="7BDD1145"/>
    <w:rsid w:val="7BE349AD"/>
    <w:rsid w:val="7BE51199"/>
    <w:rsid w:val="7BF5023D"/>
    <w:rsid w:val="7C08581D"/>
    <w:rsid w:val="7C0B7A60"/>
    <w:rsid w:val="7C105077"/>
    <w:rsid w:val="7C1655B7"/>
    <w:rsid w:val="7C30077B"/>
    <w:rsid w:val="7C300A4B"/>
    <w:rsid w:val="7C405169"/>
    <w:rsid w:val="7C43369E"/>
    <w:rsid w:val="7C460A98"/>
    <w:rsid w:val="7C540D1F"/>
    <w:rsid w:val="7C541407"/>
    <w:rsid w:val="7C5A4544"/>
    <w:rsid w:val="7C605FFE"/>
    <w:rsid w:val="7C6453C2"/>
    <w:rsid w:val="7C653614"/>
    <w:rsid w:val="7C6576E5"/>
    <w:rsid w:val="7C703CFE"/>
    <w:rsid w:val="7C740F7A"/>
    <w:rsid w:val="7C8C53E6"/>
    <w:rsid w:val="7C9F0C33"/>
    <w:rsid w:val="7CA81753"/>
    <w:rsid w:val="7CAA4F4C"/>
    <w:rsid w:val="7CAC38A6"/>
    <w:rsid w:val="7CAD6D69"/>
    <w:rsid w:val="7CB20482"/>
    <w:rsid w:val="7CB20EED"/>
    <w:rsid w:val="7CB21016"/>
    <w:rsid w:val="7CB9570E"/>
    <w:rsid w:val="7CD460A4"/>
    <w:rsid w:val="7CDB5685"/>
    <w:rsid w:val="7CE00EED"/>
    <w:rsid w:val="7CF77FE5"/>
    <w:rsid w:val="7CFB45A5"/>
    <w:rsid w:val="7D012ED6"/>
    <w:rsid w:val="7D056BA5"/>
    <w:rsid w:val="7D1A61A8"/>
    <w:rsid w:val="7D1E1A15"/>
    <w:rsid w:val="7D204D50"/>
    <w:rsid w:val="7D20753B"/>
    <w:rsid w:val="7D276B1C"/>
    <w:rsid w:val="7D2E2F27"/>
    <w:rsid w:val="7D34324E"/>
    <w:rsid w:val="7D376633"/>
    <w:rsid w:val="7D425704"/>
    <w:rsid w:val="7D4A49D8"/>
    <w:rsid w:val="7D567CB0"/>
    <w:rsid w:val="7D706B0E"/>
    <w:rsid w:val="7D717D97"/>
    <w:rsid w:val="7D7635FF"/>
    <w:rsid w:val="7D9126EA"/>
    <w:rsid w:val="7D913F95"/>
    <w:rsid w:val="7D935F5F"/>
    <w:rsid w:val="7D965A4F"/>
    <w:rsid w:val="7D983576"/>
    <w:rsid w:val="7D9D9018"/>
    <w:rsid w:val="7DA05987"/>
    <w:rsid w:val="7DBD2FDC"/>
    <w:rsid w:val="7DC0487A"/>
    <w:rsid w:val="7DC06949"/>
    <w:rsid w:val="7DD50326"/>
    <w:rsid w:val="7DD531F7"/>
    <w:rsid w:val="7DE626F2"/>
    <w:rsid w:val="7DF73C8C"/>
    <w:rsid w:val="7DFE77EE"/>
    <w:rsid w:val="7E105802"/>
    <w:rsid w:val="7E13212B"/>
    <w:rsid w:val="7E1D5DB2"/>
    <w:rsid w:val="7E1E2B24"/>
    <w:rsid w:val="7E1E5148"/>
    <w:rsid w:val="7E254A04"/>
    <w:rsid w:val="7E3305D0"/>
    <w:rsid w:val="7E40602B"/>
    <w:rsid w:val="7E4B05E8"/>
    <w:rsid w:val="7E4B4A8C"/>
    <w:rsid w:val="7E6B2B63"/>
    <w:rsid w:val="7E7F0855"/>
    <w:rsid w:val="7E851D4C"/>
    <w:rsid w:val="7E8D082C"/>
    <w:rsid w:val="7E9E5113"/>
    <w:rsid w:val="7EA05185"/>
    <w:rsid w:val="7EA146AC"/>
    <w:rsid w:val="7EAD12A3"/>
    <w:rsid w:val="7EB4618D"/>
    <w:rsid w:val="7EB50157"/>
    <w:rsid w:val="7EB8654B"/>
    <w:rsid w:val="7EBF65DE"/>
    <w:rsid w:val="7EC02D84"/>
    <w:rsid w:val="7ECF746B"/>
    <w:rsid w:val="7ED85CFD"/>
    <w:rsid w:val="7ED95347"/>
    <w:rsid w:val="7EE34CC4"/>
    <w:rsid w:val="7EEB5927"/>
    <w:rsid w:val="7EFE052B"/>
    <w:rsid w:val="7EFE2A2F"/>
    <w:rsid w:val="7EFE81AC"/>
    <w:rsid w:val="7F017107"/>
    <w:rsid w:val="7F111682"/>
    <w:rsid w:val="7F1976DD"/>
    <w:rsid w:val="7F266502"/>
    <w:rsid w:val="7F2826D7"/>
    <w:rsid w:val="7F3379FA"/>
    <w:rsid w:val="7F390D88"/>
    <w:rsid w:val="7F3B065C"/>
    <w:rsid w:val="7F3F5106"/>
    <w:rsid w:val="7F6776A3"/>
    <w:rsid w:val="7F723D48"/>
    <w:rsid w:val="7F731593"/>
    <w:rsid w:val="7F8D5B38"/>
    <w:rsid w:val="7F92656E"/>
    <w:rsid w:val="7F945FBF"/>
    <w:rsid w:val="7FA93818"/>
    <w:rsid w:val="7FB56661"/>
    <w:rsid w:val="7FBE12DF"/>
    <w:rsid w:val="7FD14B1D"/>
    <w:rsid w:val="7FD64829"/>
    <w:rsid w:val="7FDD5BB8"/>
    <w:rsid w:val="7FE760C2"/>
    <w:rsid w:val="7FFE15C8"/>
    <w:rsid w:val="AFDE5B5A"/>
    <w:rsid w:val="C6EFA792"/>
    <w:rsid w:val="CF9FE227"/>
    <w:rsid w:val="D97F6B8C"/>
    <w:rsid w:val="DFFF73AD"/>
    <w:rsid w:val="E161F371"/>
    <w:rsid w:val="E7FC3E28"/>
    <w:rsid w:val="EDFFAEA5"/>
    <w:rsid w:val="EED5605D"/>
    <w:rsid w:val="EFD5D502"/>
    <w:rsid w:val="F3B5A363"/>
    <w:rsid w:val="F696E3E0"/>
    <w:rsid w:val="F7FE5B82"/>
    <w:rsid w:val="FCFA4225"/>
    <w:rsid w:val="FCFD1992"/>
    <w:rsid w:val="FD4E47C0"/>
    <w:rsid w:val="FDDF4316"/>
    <w:rsid w:val="FDF62535"/>
    <w:rsid w:val="FFB93F53"/>
    <w:rsid w:val="FFEDB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customStyle="1" w:styleId="2">
    <w:name w:val="表格文字"/>
    <w:basedOn w:val="3"/>
    <w:next w:val="1"/>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Body Text Indent"/>
    <w:basedOn w:val="1"/>
    <w:autoRedefine/>
    <w:qFormat/>
    <w:uiPriority w:val="0"/>
    <w:pPr>
      <w:ind w:firstLine="570"/>
    </w:pPr>
    <w:rPr>
      <w:rFonts w:ascii="宋体" w:hAnsi="宋体"/>
      <w:sz w:val="28"/>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Body Text Indent 2"/>
    <w:basedOn w:val="1"/>
    <w:autoRedefine/>
    <w:qFormat/>
    <w:uiPriority w:val="0"/>
    <w:pPr>
      <w:spacing w:before="312" w:beforeLines="100" w:line="520" w:lineRule="exact"/>
      <w:ind w:firstLine="573"/>
    </w:pPr>
    <w:rPr>
      <w:sz w:val="28"/>
    </w:rPr>
  </w:style>
  <w:style w:type="paragraph" w:styleId="17">
    <w:name w:val="Balloon Text"/>
    <w:basedOn w:val="1"/>
    <w:link w:val="55"/>
    <w:autoRedefine/>
    <w:qFormat/>
    <w:uiPriority w:val="0"/>
    <w:rPr>
      <w:sz w:val="18"/>
      <w:szCs w:val="18"/>
    </w:rPr>
  </w:style>
  <w:style w:type="paragraph" w:styleId="18">
    <w:name w:val="footer"/>
    <w:basedOn w:val="1"/>
    <w:next w:val="1"/>
    <w:link w:val="5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6">
    <w:name w:val="annotation subject"/>
    <w:basedOn w:val="11"/>
    <w:next w:val="11"/>
    <w:link w:val="54"/>
    <w:autoRedefine/>
    <w:qFormat/>
    <w:uiPriority w:val="0"/>
    <w:rPr>
      <w:b/>
      <w:bCs/>
    </w:rPr>
  </w:style>
  <w:style w:type="paragraph" w:styleId="27">
    <w:name w:val="Body Text First Indent"/>
    <w:basedOn w:val="10"/>
    <w:autoRedefine/>
    <w:qFormat/>
    <w:uiPriority w:val="99"/>
    <w:pPr>
      <w:spacing w:after="120"/>
      <w:ind w:firstLine="420" w:firstLineChars="100"/>
    </w:pPr>
    <w:rPr>
      <w:sz w:val="21"/>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30"/>
    <w:autoRedefine/>
    <w:qFormat/>
    <w:uiPriority w:val="0"/>
    <w:rPr>
      <w:rFonts w:hint="eastAsia" w:ascii="宋体" w:hAnsi="宋体" w:eastAsia="宋体" w:cs="宋体"/>
      <w:color w:val="000000"/>
      <w:sz w:val="21"/>
      <w:szCs w:val="21"/>
      <w:u w:val="none"/>
    </w:rPr>
  </w:style>
  <w:style w:type="character" w:customStyle="1" w:styleId="47">
    <w:name w:val="font21"/>
    <w:basedOn w:val="30"/>
    <w:autoRedefine/>
    <w:qFormat/>
    <w:uiPriority w:val="0"/>
    <w:rPr>
      <w:rFonts w:hint="eastAsia" w:ascii="宋体" w:hAnsi="宋体" w:eastAsia="宋体" w:cs="宋体"/>
      <w:b/>
      <w:bCs/>
      <w:color w:val="000000"/>
      <w:sz w:val="18"/>
      <w:szCs w:val="18"/>
      <w:u w:val="none"/>
    </w:rPr>
  </w:style>
  <w:style w:type="character" w:customStyle="1" w:styleId="48">
    <w:name w:val="font31"/>
    <w:basedOn w:val="30"/>
    <w:autoRedefine/>
    <w:qFormat/>
    <w:uiPriority w:val="0"/>
    <w:rPr>
      <w:rFonts w:hint="eastAsia" w:ascii="宋体" w:hAnsi="宋体" w:eastAsia="宋体" w:cs="宋体"/>
      <w:color w:val="000000"/>
      <w:sz w:val="21"/>
      <w:szCs w:val="21"/>
      <w:u w:val="none"/>
    </w:rPr>
  </w:style>
  <w:style w:type="character" w:customStyle="1" w:styleId="49">
    <w:name w:val="正文文本 字符"/>
    <w:basedOn w:val="30"/>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30"/>
    <w:link w:val="18"/>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30"/>
    <w:link w:val="11"/>
    <w:autoRedefine/>
    <w:qFormat/>
    <w:uiPriority w:val="0"/>
    <w:rPr>
      <w:kern w:val="2"/>
      <w:sz w:val="21"/>
      <w:szCs w:val="24"/>
    </w:rPr>
  </w:style>
  <w:style w:type="character" w:customStyle="1" w:styleId="54">
    <w:name w:val="批注主题 字符"/>
    <w:basedOn w:val="53"/>
    <w:link w:val="26"/>
    <w:autoRedefine/>
    <w:qFormat/>
    <w:uiPriority w:val="0"/>
    <w:rPr>
      <w:b/>
      <w:bCs/>
      <w:kern w:val="2"/>
      <w:sz w:val="21"/>
      <w:szCs w:val="24"/>
    </w:rPr>
  </w:style>
  <w:style w:type="character" w:customStyle="1" w:styleId="55">
    <w:name w:val="批注框文本 字符"/>
    <w:basedOn w:val="30"/>
    <w:link w:val="17"/>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30"/>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3</TotalTime>
  <ScaleCrop>false</ScaleCrop>
  <LinksUpToDate>false</LinksUpToDate>
  <CharactersWithSpaces>25217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2023-04-07T09:21:00Z</dcterms:created>
  <dc:creator>小奀</dc:creator>
  <cp:lastModifiedBy>Administrator</cp:lastModifiedBy>
  <cp:lastPrinted>2023-11-03T12:50:00Z</cp:lastPrinted>
  <dcterms:modified xsi:type="dcterms:W3CDTF">2024-01-26T03:59:46Z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A96A40873FCC4FBF9340E93086A0F470_13</vt:lpwstr>
  </property>
  <property fmtid="{D5CDD505-2E9C-101B-9397-08002B2CF9AE}" pid="4" name="commondata">
    <vt:lpwstr>eyJoZGlkIjoiZGNiZjhiYWJkMzQ2ODliZDg0M2NkY2U3ZDYyYTQ3YzEifQ==</vt:lpwstr>
  </property>
</Properties>
</file>