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5553"/>
      <w:bookmarkStart w:id="4" w:name="_Toc3493"/>
      <w:bookmarkStart w:id="5" w:name="_Toc14315"/>
      <w:bookmarkStart w:id="6" w:name="_Toc15365"/>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中山大学孙逸仙纪念医院污水处理系统运营项目</w:t>
      </w:r>
    </w:p>
    <w:p>
      <w:pPr>
        <w:spacing w:line="480" w:lineRule="auto"/>
        <w:jc w:val="center"/>
        <w:rPr>
          <w:rFonts w:hint="eastAsia" w:ascii="宋体" w:hAnsi="宋体"/>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9"/>
      </w:pPr>
    </w:p>
    <w:p>
      <w:pPr>
        <w:pStyle w:val="19"/>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项目编号：CGHQ2023-0007</w:t>
      </w:r>
    </w:p>
    <w:p>
      <w:pPr>
        <w:adjustRightInd w:val="0"/>
        <w:snapToGrid w:val="0"/>
        <w:spacing w:line="360" w:lineRule="auto"/>
        <w:ind w:firstLine="2891" w:firstLineChars="900"/>
        <w:rPr>
          <w:rFonts w:hint="default" w:ascii="仿宋" w:hAnsi="仿宋" w:eastAsia="仿宋" w:cs="仿宋"/>
          <w:b/>
          <w:bCs/>
          <w:sz w:val="32"/>
          <w:szCs w:val="32"/>
          <w:lang w:val="en-US" w:eastAsia="zh-CN"/>
        </w:rPr>
      </w:pPr>
    </w:p>
    <w:p>
      <w:pPr>
        <w:adjustRightInd w:val="0"/>
        <w:snapToGrid w:val="0"/>
        <w:spacing w:line="360" w:lineRule="auto"/>
        <w:jc w:val="center"/>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p>
    <w:p>
      <w:pPr>
        <w:pStyle w:val="20"/>
        <w:rPr>
          <w:rFonts w:ascii="宋体" w:hAnsi="宋体"/>
          <w:bCs/>
          <w:szCs w:val="28"/>
        </w:rPr>
      </w:pPr>
      <w:r>
        <w:rPr>
          <w:rFonts w:hint="eastAsia" w:ascii="仿宋" w:hAnsi="仿宋" w:eastAsia="仿宋" w:cs="仿宋"/>
          <w:b/>
          <w:bCs/>
          <w:sz w:val="28"/>
          <w:szCs w:val="28"/>
        </w:rPr>
        <w:fldChar w:fldCharType="end"/>
      </w:r>
    </w:p>
    <w:p>
      <w:pPr>
        <w:pStyle w:val="20"/>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7"/>
          <w:rFonts w:hint="eastAsia" w:ascii="仿宋" w:hAnsi="仿宋" w:eastAsia="仿宋" w:cs="仿宋"/>
          <w:kern w:val="0"/>
          <w:sz w:val="24"/>
          <w:lang w:val="en-US" w:eastAsia="zh-CN"/>
        </w:rPr>
        <w:t>sszxyyzcb@126.com</w:t>
      </w:r>
      <w:r>
        <w:rPr>
          <w:rFonts w:hint="eastAsia" w:ascii="仿宋" w:hAnsi="仿宋" w:eastAsia="仿宋" w:cs="仿宋"/>
          <w:kern w:val="0"/>
          <w:sz w:val="24"/>
          <w:lang w:val="en-US" w:eastAsia="zh-CN"/>
        </w:rPr>
        <w:fldChar w:fldCharType="end"/>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val="0"/>
          <w:bCs/>
          <w:color w:val="000000"/>
          <w:sz w:val="24"/>
          <w:szCs w:val="24"/>
          <w:highlight w:val="none"/>
          <w:lang w:eastAsia="zh-CN"/>
        </w:rPr>
        <w:t>中山大学孙逸仙纪念医院深汕中心医院污水处理系统运营项目</w:t>
      </w:r>
      <w:r>
        <w:rPr>
          <w:rFonts w:hint="eastAsia" w:ascii="仿宋" w:hAnsi="仿宋" w:eastAsia="仿宋" w:cs="仿宋"/>
          <w:i w:val="0"/>
          <w:iCs w:val="0"/>
          <w:caps w:val="0"/>
          <w:color w:val="000000"/>
          <w:spacing w:val="0"/>
          <w:sz w:val="24"/>
          <w:szCs w:val="24"/>
          <w:u w:val="none"/>
          <w:vertAlign w:val="baseline"/>
        </w:rPr>
        <w:t>-某某公司</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 1月 4日下午17:00，以邮件接收时间为准，超时视为无效报名。</w:t>
      </w:r>
      <w:bookmarkStart w:id="134" w:name="_GoBack"/>
      <w:bookmarkEnd w:id="134"/>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20"/>
      </w:pPr>
    </w:p>
    <w:p>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6"/>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一、</w:t>
      </w: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6"/>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二、报名资质要求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6"/>
        <w:ind w:firstLine="480" w:firstLineChars="200"/>
        <w:rPr>
          <w:rFonts w:ascii="仿宋" w:hAnsi="仿宋" w:eastAsia="仿宋"/>
          <w:sz w:val="24"/>
          <w:szCs w:val="24"/>
          <w:lang w:val="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snapToGrid w:val="0"/>
        <w:spacing w:line="360" w:lineRule="auto"/>
        <w:ind w:firstLine="480" w:firstLineChars="200"/>
        <w:rPr>
          <w:rFonts w:hint="eastAsia" w:ascii="仿宋" w:hAnsi="仿宋" w:eastAsia="仿宋"/>
          <w:sz w:val="24"/>
          <w:szCs w:val="24"/>
          <w:lang w:eastAsia="zh-CN"/>
        </w:rPr>
      </w:pPr>
      <w:r>
        <w:rPr>
          <w:rFonts w:hint="eastAsia" w:ascii="仿宋" w:hAnsi="仿宋"/>
          <w:sz w:val="24"/>
          <w:szCs w:val="24"/>
          <w:lang w:val="en-US" w:eastAsia="zh-CN"/>
        </w:rPr>
        <w:t>2</w:t>
      </w:r>
      <w:r>
        <w:rPr>
          <w:rFonts w:hint="eastAsia" w:ascii="仿宋" w:hAnsi="仿宋" w:eastAsia="仿宋"/>
          <w:sz w:val="24"/>
          <w:szCs w:val="24"/>
          <w:lang w:val="zh-CN"/>
        </w:rPr>
        <w:t>、</w:t>
      </w:r>
      <w:r>
        <w:rPr>
          <w:rFonts w:hint="eastAsia" w:ascii="仿宋" w:hAnsi="仿宋" w:eastAsia="仿宋"/>
          <w:sz w:val="24"/>
          <w:szCs w:val="24"/>
        </w:rPr>
        <w:t>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pPr>
        <w:snapToGrid w:val="0"/>
        <w:spacing w:line="360" w:lineRule="auto"/>
        <w:ind w:firstLine="480" w:firstLineChars="200"/>
        <w:rPr>
          <w:rFonts w:ascii="仿宋" w:hAnsi="仿宋" w:eastAsia="仿宋"/>
          <w:sz w:val="24"/>
          <w:szCs w:val="24"/>
          <w:lang w:val="zh-CN"/>
        </w:rPr>
      </w:pPr>
      <w:r>
        <w:rPr>
          <w:rFonts w:hint="eastAsia" w:ascii="仿宋" w:hAnsi="仿宋"/>
          <w:sz w:val="24"/>
          <w:szCs w:val="24"/>
          <w:lang w:val="en-US" w:eastAsia="zh-CN"/>
        </w:rPr>
        <w:t>3</w:t>
      </w:r>
      <w:r>
        <w:rPr>
          <w:rFonts w:hint="eastAsia" w:ascii="仿宋" w:hAnsi="仿宋" w:eastAsia="仿宋"/>
          <w:sz w:val="24"/>
          <w:szCs w:val="24"/>
          <w:lang w:val="zh-CN"/>
        </w:rPr>
        <w:t>、</w:t>
      </w:r>
      <w:r>
        <w:rPr>
          <w:rFonts w:hint="eastAsia" w:ascii="仿宋" w:hAnsi="仿宋" w:eastAsia="仿宋"/>
          <w:sz w:val="24"/>
          <w:szCs w:val="24"/>
        </w:rPr>
        <w:t>单位负责人为同一人或者存在直接控股、管理关系的不同供应商，不得参加同一包号投标或者未划分包号的同一招标项目投标。</w:t>
      </w:r>
    </w:p>
    <w:p>
      <w:pPr>
        <w:snapToGrid w:val="0"/>
        <w:spacing w:line="360" w:lineRule="auto"/>
        <w:ind w:firstLine="480" w:firstLineChars="200"/>
        <w:rPr>
          <w:rFonts w:hint="eastAsia" w:ascii="仿宋" w:hAnsi="仿宋" w:eastAsia="仿宋"/>
          <w:sz w:val="24"/>
          <w:szCs w:val="24"/>
        </w:rPr>
      </w:pPr>
      <w:r>
        <w:rPr>
          <w:rFonts w:hint="eastAsia" w:ascii="仿宋" w:hAnsi="仿宋"/>
          <w:sz w:val="24"/>
          <w:szCs w:val="24"/>
          <w:lang w:val="en-US" w:eastAsia="zh-CN"/>
        </w:rPr>
        <w:t>4</w:t>
      </w:r>
      <w:r>
        <w:rPr>
          <w:rFonts w:hint="eastAsia" w:ascii="仿宋" w:hAnsi="仿宋" w:eastAsia="仿宋"/>
          <w:sz w:val="24"/>
          <w:szCs w:val="24"/>
          <w:lang w:val="zh-CN"/>
        </w:rPr>
        <w:t>、</w:t>
      </w:r>
      <w:r>
        <w:rPr>
          <w:rFonts w:hint="eastAsia" w:ascii="仿宋" w:hAnsi="仿宋" w:eastAsia="仿宋"/>
          <w:sz w:val="24"/>
          <w:szCs w:val="24"/>
        </w:rPr>
        <w:t>为采购项目提供整体设计、规范编制或者项目管理、监理、检测等服务的供应商，不得再参加该采购项目的其他采购活动。</w:t>
      </w:r>
    </w:p>
    <w:p>
      <w:pPr>
        <w:numPr>
          <w:ilvl w:val="0"/>
          <w:numId w:val="0"/>
        </w:numPr>
        <w:spacing w:line="360" w:lineRule="auto"/>
        <w:ind w:firstLine="480" w:firstLineChars="200"/>
      </w:pPr>
      <w:r>
        <w:rPr>
          <w:rFonts w:hint="eastAsia" w:ascii="仿宋" w:hAnsi="仿宋" w:eastAsia="仿宋" w:cs="仿宋"/>
          <w:b w:val="0"/>
          <w:bCs/>
          <w:color w:val="000000"/>
          <w:kern w:val="2"/>
          <w:sz w:val="24"/>
          <w:szCs w:val="24"/>
          <w:highlight w:val="none"/>
          <w:lang w:val="en-US" w:eastAsia="zh-CN"/>
        </w:rPr>
        <w:t>5、</w:t>
      </w:r>
      <w:r>
        <w:rPr>
          <w:rFonts w:hint="eastAsia" w:ascii="仿宋" w:hAnsi="仿宋" w:eastAsia="仿宋" w:cs="仿宋"/>
          <w:bCs/>
          <w:color w:val="000000"/>
          <w:sz w:val="24"/>
          <w:szCs w:val="24"/>
          <w:highlight w:val="none"/>
        </w:rPr>
        <w:t>必须是具有独立承担民事责任能力的在中华人民共和国境内注册的法人或其他组织。提供有效的营业执照（或事业法人登记证或身份证等相关证明）副本复印件，如为分公司报名，必须同时提供总公司的营业执照副本复印件及总公司针对本项目响应的授权书。</w:t>
      </w:r>
    </w:p>
    <w:p>
      <w:pPr>
        <w:spacing w:line="360" w:lineRule="auto"/>
        <w:ind w:firstLine="480" w:firstLineChars="200"/>
        <w:rPr>
          <w:rFonts w:hint="eastAsia" w:ascii="仿宋" w:hAnsi="仿宋" w:eastAsia="仿宋" w:cs="Times New Roman"/>
          <w:sz w:val="24"/>
          <w:szCs w:val="24"/>
          <w:highlight w:val="none"/>
          <w:lang w:val="zh-CN"/>
        </w:rPr>
      </w:pPr>
      <w:r>
        <w:rPr>
          <w:rFonts w:hint="eastAsia" w:ascii="仿宋" w:hAnsi="仿宋"/>
          <w:sz w:val="24"/>
          <w:szCs w:val="24"/>
          <w:lang w:val="en-US" w:eastAsia="zh-CN"/>
        </w:rPr>
        <w:t>6</w:t>
      </w:r>
      <w:r>
        <w:rPr>
          <w:rFonts w:hint="eastAsia" w:ascii="仿宋" w:hAnsi="仿宋" w:eastAsia="仿宋"/>
          <w:sz w:val="24"/>
          <w:szCs w:val="24"/>
          <w:lang w:val="zh-CN"/>
        </w:rPr>
        <w:t>、本项目不接受联合体投标</w:t>
      </w:r>
      <w:r>
        <w:rPr>
          <w:rFonts w:hint="eastAsia" w:ascii="仿宋" w:hAnsi="仿宋" w:eastAsia="仿宋" w:cs="Times New Roman"/>
          <w:sz w:val="24"/>
          <w:szCs w:val="24"/>
          <w:lang w:val="zh-CN"/>
        </w:rPr>
        <w:t>，</w:t>
      </w:r>
      <w:r>
        <w:rPr>
          <w:rFonts w:hint="eastAsia" w:ascii="仿宋" w:hAnsi="仿宋" w:eastAsia="仿宋" w:cs="Times New Roman"/>
          <w:sz w:val="24"/>
          <w:szCs w:val="24"/>
          <w:highlight w:val="none"/>
          <w:lang w:val="zh-CN" w:eastAsia="zh-CN"/>
        </w:rPr>
        <w:t>成交供应商不得分包、转包。</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widowControl/>
        <w:spacing w:line="360" w:lineRule="auto"/>
        <w:jc w:val="center"/>
        <w:outlineLvl w:val="0"/>
        <w:rPr>
          <w:rFonts w:ascii="宋体" w:hAnsi="宋体" w:cs="宋体"/>
          <w:b/>
          <w:kern w:val="0"/>
          <w:sz w:val="40"/>
          <w:szCs w:val="27"/>
        </w:rPr>
      </w:pPr>
      <w:bookmarkStart w:id="12" w:name="_Toc17375"/>
      <w:bookmarkStart w:id="13" w:name="_Toc24"/>
      <w:bookmarkStart w:id="14" w:name="_Toc31740"/>
      <w:bookmarkStart w:id="15" w:name="_Toc25869"/>
      <w:bookmarkStart w:id="16" w:name="_Toc31053"/>
      <w:bookmarkStart w:id="17" w:name="_Toc14488"/>
      <w:bookmarkStart w:id="18" w:name="_Toc6408"/>
      <w:bookmarkStart w:id="19" w:name="_Toc6151"/>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default" w:ascii="仿宋" w:hAnsi="仿宋" w:eastAsia="仿宋" w:cs="仿宋"/>
          <w:b/>
          <w:kern w:val="0"/>
          <w:sz w:val="28"/>
          <w:szCs w:val="28"/>
          <w:lang w:val="en-US" w:eastAsia="zh-CN"/>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r>
        <w:rPr>
          <w:rFonts w:hint="eastAsia" w:ascii="仿宋" w:hAnsi="仿宋" w:eastAsia="仿宋" w:cs="仿宋"/>
          <w:b/>
          <w:kern w:val="0"/>
          <w:sz w:val="52"/>
          <w:szCs w:val="52"/>
          <w:lang w:val="en-US" w:eastAsia="zh-CN"/>
        </w:rPr>
        <w:t>深汕中心医院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1249"/>
      <w:bookmarkStart w:id="22" w:name="_Toc8364"/>
      <w:bookmarkStart w:id="23" w:name="_Toc3471"/>
      <w:bookmarkStart w:id="24" w:name="_Toc40776111"/>
      <w:bookmarkStart w:id="25" w:name="_Toc7291"/>
      <w:bookmarkStart w:id="26" w:name="_Toc29113"/>
      <w:bookmarkStart w:id="27" w:name="_Toc15870"/>
      <w:bookmarkStart w:id="28" w:name="_Toc1994"/>
      <w:bookmarkStart w:id="29" w:name="_Toc12520"/>
      <w:bookmarkStart w:id="30" w:name="_Toc11305"/>
      <w:bookmarkStart w:id="31" w:name="_Toc40346375"/>
      <w:bookmarkStart w:id="32" w:name="_Toc6547"/>
      <w:bookmarkStart w:id="33" w:name="_Toc435"/>
      <w:bookmarkStart w:id="34" w:name="_Toc26267"/>
      <w:bookmarkStart w:id="35" w:name="_Toc28703"/>
      <w:bookmarkStart w:id="36" w:name="_Toc40346216"/>
      <w:bookmarkStart w:id="37" w:name="_Toc1107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43"/>
      <w:bookmarkStart w:id="40" w:name="_Toc20884"/>
      <w:bookmarkStart w:id="41" w:name="_Toc40346217"/>
      <w:bookmarkStart w:id="42" w:name="_Toc17709"/>
      <w:bookmarkStart w:id="43" w:name="_Toc27997"/>
      <w:bookmarkStart w:id="44" w:name="_Toc40776112"/>
      <w:bookmarkStart w:id="45" w:name="_Toc40346376"/>
    </w:p>
    <w:p>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31538"/>
      <w:bookmarkStart w:id="48" w:name="_Toc2029"/>
      <w:bookmarkStart w:id="49" w:name="_Toc11485"/>
      <w:bookmarkStart w:id="50" w:name="_Toc29102"/>
      <w:bookmarkStart w:id="51" w:name="_Toc2012"/>
      <w:bookmarkStart w:id="52" w:name="_Toc5238"/>
      <w:bookmarkStart w:id="53" w:name="_Toc30979"/>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40346377"/>
      <w:bookmarkStart w:id="57" w:name="_Toc31993"/>
      <w:bookmarkStart w:id="58" w:name="_Toc40776113"/>
      <w:bookmarkStart w:id="59" w:name="_Toc27867"/>
      <w:bookmarkStart w:id="60" w:name="_Toc29767"/>
      <w:bookmarkStart w:id="61" w:name="_Toc17930"/>
      <w:bookmarkStart w:id="62" w:name="_Toc40346218"/>
      <w:bookmarkStart w:id="63" w:name="_Toc16794"/>
      <w:bookmarkStart w:id="64" w:name="_Toc7052"/>
      <w:bookmarkStart w:id="65" w:name="_Toc4013"/>
      <w:bookmarkStart w:id="66" w:name="_Toc14824"/>
      <w:bookmarkStart w:id="67" w:name="_Toc12645"/>
      <w:bookmarkStart w:id="68" w:name="_Toc21483"/>
      <w:bookmarkStart w:id="69" w:name="_Toc28064"/>
      <w:bookmarkStart w:id="70" w:name="_Toc24763"/>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4563"/>
      <w:bookmarkStart w:id="73" w:name="_Toc40346219"/>
      <w:bookmarkStart w:id="74" w:name="_Toc17537"/>
      <w:bookmarkStart w:id="75" w:name="_Toc11334"/>
      <w:bookmarkStart w:id="76" w:name="_Toc32709"/>
      <w:bookmarkStart w:id="77" w:name="_Toc31197"/>
      <w:bookmarkStart w:id="78" w:name="_Toc16813"/>
      <w:bookmarkStart w:id="79" w:name="_Toc19831"/>
      <w:bookmarkStart w:id="80" w:name="_Toc40776114"/>
      <w:bookmarkStart w:id="81" w:name="_Toc26029"/>
      <w:bookmarkStart w:id="82" w:name="_Toc27771"/>
      <w:bookmarkStart w:id="83" w:name="_Toc24651"/>
      <w:bookmarkStart w:id="84" w:name="_Toc6438"/>
      <w:bookmarkStart w:id="85" w:name="_Toc14287"/>
      <w:bookmarkStart w:id="86" w:name="_Toc40346378"/>
      <w:bookmarkStart w:id="87" w:name="_Toc9883"/>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18353"/>
      <w:bookmarkStart w:id="91" w:name="_Toc40346220"/>
      <w:bookmarkStart w:id="92" w:name="_Toc27206"/>
      <w:bookmarkStart w:id="93" w:name="_Toc14586"/>
      <w:bookmarkStart w:id="94" w:name="_Toc21940"/>
      <w:bookmarkStart w:id="95" w:name="_Toc40346379"/>
      <w:bookmarkStart w:id="96" w:name="_Toc3895"/>
      <w:bookmarkStart w:id="97" w:name="_Toc30336"/>
      <w:bookmarkStart w:id="98" w:name="_Toc27868"/>
      <w:bookmarkStart w:id="99" w:name="_Toc5634"/>
      <w:bookmarkStart w:id="100" w:name="_Toc5189"/>
      <w:bookmarkStart w:id="101" w:name="_Toc40776115"/>
      <w:bookmarkStart w:id="102" w:name="_Toc17483"/>
      <w:bookmarkStart w:id="103" w:name="_Toc12650"/>
      <w:bookmarkStart w:id="104" w:name="_Toc13222"/>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27646"/>
      <w:bookmarkStart w:id="108" w:name="_Toc12127"/>
      <w:bookmarkStart w:id="109" w:name="_Toc32371"/>
      <w:bookmarkStart w:id="110" w:name="_Toc30904"/>
      <w:bookmarkStart w:id="111" w:name="_Toc21449"/>
      <w:bookmarkStart w:id="112" w:name="_Toc5220"/>
      <w:bookmarkStart w:id="113" w:name="_Toc40776116"/>
      <w:bookmarkStart w:id="114" w:name="_Toc10454"/>
      <w:bookmarkStart w:id="115" w:name="_Toc14462"/>
      <w:bookmarkStart w:id="116" w:name="_Toc8526"/>
      <w:bookmarkStart w:id="117" w:name="_Toc27009"/>
      <w:bookmarkStart w:id="118" w:name="_Toc9282"/>
      <w:bookmarkStart w:id="119" w:name="_Toc3498"/>
      <w:bookmarkStart w:id="120" w:name="_Toc40346221"/>
      <w:bookmarkStart w:id="121" w:name="_Toc11547"/>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0"/>
      </w:pPr>
    </w:p>
    <w:p>
      <w:pPr>
        <w:pStyle w:val="20"/>
      </w:pPr>
    </w:p>
    <w:p>
      <w:pPr>
        <w:pStyle w:val="26"/>
        <w:spacing w:line="360" w:lineRule="auto"/>
        <w:ind w:firstLine="0" w:firstLineChars="0"/>
        <w:rPr>
          <w:rFonts w:ascii="宋体" w:hAnsi="宋体"/>
          <w:bCs/>
          <w:color w:val="FF0000"/>
          <w:sz w:val="24"/>
          <w:szCs w:val="24"/>
        </w:rPr>
      </w:pPr>
      <w:bookmarkStart w:id="123" w:name="_Toc21213"/>
      <w:bookmarkStart w:id="124" w:name="_Toc6691"/>
      <w:bookmarkStart w:id="125" w:name="_Toc28747"/>
      <w:bookmarkStart w:id="126" w:name="_Toc16608"/>
      <w:bookmarkStart w:id="127" w:name="_Toc16728"/>
      <w:bookmarkStart w:id="128" w:name="_Toc10399"/>
      <w:bookmarkStart w:id="129" w:name="_Toc9697"/>
      <w:bookmarkStart w:id="130" w:name="_Toc31077"/>
      <w:bookmarkStart w:id="131" w:name="_Toc15539"/>
      <w:bookmarkStart w:id="132" w:name="_Toc13184"/>
      <w:bookmarkStart w:id="133" w:name="_Toc8637"/>
    </w:p>
    <w:p>
      <w:pPr>
        <w:pStyle w:val="26"/>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6"/>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的采购</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1"/>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WE1NzVlZDE5NGE5ZmFlOTcwNDc0MWEzYzE2NzkifQ=="/>
  </w:docVars>
  <w:rsids>
    <w:rsidRoot w:val="00000000"/>
    <w:rsid w:val="03A441BF"/>
    <w:rsid w:val="0EBB60DC"/>
    <w:rsid w:val="3C572C67"/>
    <w:rsid w:val="46BB6136"/>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6">
    <w:name w:val="Body Text"/>
    <w:basedOn w:val="1"/>
    <w:autoRedefine/>
    <w:qFormat/>
    <w:uiPriority w:val="0"/>
    <w:rPr>
      <w:sz w:val="24"/>
    </w:rPr>
  </w:style>
  <w:style w:type="paragraph" w:styleId="7">
    <w:name w:val="List Bullet 2"/>
    <w:basedOn w:val="1"/>
    <w:qFormat/>
    <w:uiPriority w:val="99"/>
    <w:pPr>
      <w:numPr>
        <w:ilvl w:val="0"/>
        <w:numId w:val="1"/>
      </w:numPr>
    </w:pPr>
  </w:style>
  <w:style w:type="paragraph" w:styleId="8">
    <w:name w:val="Plain Text"/>
    <w:basedOn w:val="1"/>
    <w:link w:val="25"/>
    <w:qFormat/>
    <w:uiPriority w:val="0"/>
    <w:rPr>
      <w:rFonts w:ascii="宋体" w:hAnsi="Courier New" w:cs="Courier New"/>
      <w:szCs w:val="21"/>
    </w:rPr>
  </w:style>
  <w:style w:type="paragraph" w:styleId="9">
    <w:name w:val="Balloon Text"/>
    <w:basedOn w:val="1"/>
    <w:link w:val="29"/>
    <w:autoRedefine/>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1"/>
    <w:qFormat/>
    <w:uiPriority w:val="99"/>
    <w:rPr>
      <w:sz w:val="18"/>
      <w:szCs w:val="18"/>
    </w:rPr>
  </w:style>
  <w:style w:type="character" w:customStyle="1" w:styleId="22">
    <w:name w:val="页脚 Char"/>
    <w:basedOn w:val="15"/>
    <w:link w:val="10"/>
    <w:autoRedefine/>
    <w:qFormat/>
    <w:uiPriority w:val="99"/>
    <w:rPr>
      <w:sz w:val="18"/>
      <w:szCs w:val="18"/>
    </w:rPr>
  </w:style>
  <w:style w:type="character" w:customStyle="1" w:styleId="23">
    <w:name w:val="标题 2 Char"/>
    <w:basedOn w:val="15"/>
    <w:link w:val="3"/>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8"/>
    <w:autoRedefine/>
    <w:qFormat/>
    <w:uiPriority w:val="0"/>
    <w:rPr>
      <w:rFonts w:ascii="宋体" w:hAnsi="Courier New" w:eastAsia="宋体" w:cs="Courier New"/>
      <w:szCs w:val="21"/>
    </w:rPr>
  </w:style>
  <w:style w:type="paragraph" w:styleId="26">
    <w:name w:val="List Paragraph"/>
    <w:basedOn w:val="1"/>
    <w:autoRedefine/>
    <w:qFormat/>
    <w:uiPriority w:val="34"/>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character" w:customStyle="1" w:styleId="29">
    <w:name w:val="批注框文本 Char"/>
    <w:basedOn w:val="15"/>
    <w:link w:val="9"/>
    <w:autoRedefine/>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1960</Words>
  <Characters>2074</Characters>
  <Paragraphs>196</Paragraphs>
  <TotalTime>2</TotalTime>
  <ScaleCrop>false</ScaleCrop>
  <LinksUpToDate>false</LinksUpToDate>
  <CharactersWithSpaces>2198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WK</cp:lastModifiedBy>
  <cp:lastPrinted>2022-08-23T03:15:00Z</cp:lastPrinted>
  <dcterms:modified xsi:type="dcterms:W3CDTF">2023-12-27T07:10:33Z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166C090F5F594C7E87577E737B94B29F</vt:lpwstr>
  </property>
</Properties>
</file>