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Lines="0" w:afterLines="0" w:line="240" w:lineRule="auto"/>
        <w:ind w:left="2249" w:leftChars="0" w:hanging="2249" w:hangingChars="7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中山大学孙逸仙纪念医院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深汕中心医院后勤服务项目采购需求参数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说明</w:t>
      </w:r>
    </w:p>
    <w:p>
      <w:pPr>
        <w:pStyle w:val="10"/>
        <w:spacing w:before="31" w:after="31" w:line="240" w:lineRule="auto"/>
        <w:ind w:left="3793" w:leftChars="200" w:hanging="3373" w:hangingChars="1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pStyle w:val="10"/>
        <w:spacing w:before="31" w:after="31" w:line="240" w:lineRule="auto"/>
        <w:ind w:firstLine="0" w:firstLineChars="0"/>
        <w:rPr>
          <w:rFonts w:hint="default" w:ascii="仿宋_GB2312" w:hAnsi="仿宋_GB2312" w:eastAsia="仿宋_GB2312" w:cs="仿宋_GB2312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  <w:lang w:val="en-US" w:eastAsia="zh-CN"/>
        </w:rPr>
        <w:t>一、标的概况：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901"/>
        <w:gridCol w:w="2470"/>
        <w:gridCol w:w="2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6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highlight w:val="none"/>
              </w:rPr>
              <w:t>采购内容</w:t>
            </w:r>
          </w:p>
        </w:tc>
        <w:tc>
          <w:tcPr>
            <w:tcW w:w="901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470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highlight w:val="none"/>
              </w:rPr>
              <w:t>服务期</w:t>
            </w:r>
          </w:p>
        </w:tc>
        <w:tc>
          <w:tcPr>
            <w:tcW w:w="2638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highlight w:val="none"/>
              </w:rPr>
              <w:t>采购预算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2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/>
              <w:widowControl/>
              <w:adjustRightInd w:val="0"/>
              <w:snapToGrid w:val="0"/>
              <w:ind w:left="17" w:hanging="17" w:hangingChars="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highlight w:val="none"/>
                <w:lang w:bidi="ar"/>
              </w:rPr>
              <w:t xml:space="preserve">中山大学孙逸 </w:t>
            </w:r>
          </w:p>
          <w:p>
            <w:pPr>
              <w:keepNext/>
              <w:widowControl/>
              <w:adjustRightInd w:val="0"/>
              <w:snapToGrid w:val="0"/>
              <w:ind w:left="17" w:hanging="17" w:hangingChars="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highlight w:val="none"/>
                <w:lang w:bidi="ar"/>
              </w:rPr>
              <w:t xml:space="preserve">仙纪念医院深 </w:t>
            </w:r>
          </w:p>
          <w:p>
            <w:pPr>
              <w:keepNext/>
              <w:widowControl/>
              <w:adjustRightInd w:val="0"/>
              <w:snapToGrid w:val="0"/>
              <w:ind w:left="17" w:hanging="17" w:hangingChars="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highlight w:val="none"/>
                <w:lang w:bidi="ar"/>
              </w:rPr>
              <w:t xml:space="preserve">汕中心医院后 </w:t>
            </w:r>
          </w:p>
          <w:p>
            <w:pPr>
              <w:keepNext/>
              <w:widowControl/>
              <w:adjustRightInd w:val="0"/>
              <w:snapToGrid w:val="0"/>
              <w:ind w:left="17" w:hanging="17" w:hangingChars="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highlight w:val="none"/>
                <w:lang w:bidi="ar"/>
              </w:rPr>
              <w:t xml:space="preserve">勤服务项目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bCs/>
                <w:sz w:val="22"/>
                <w:szCs w:val="22"/>
                <w:highlight w:val="none"/>
              </w:rPr>
            </w:pPr>
          </w:p>
        </w:tc>
        <w:tc>
          <w:tcPr>
            <w:tcW w:w="901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highlight w:val="none"/>
              </w:rPr>
              <w:t>1项</w:t>
            </w:r>
          </w:p>
        </w:tc>
        <w:tc>
          <w:tcPr>
            <w:tcW w:w="247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/>
              <w:adjustRightInd w:val="0"/>
              <w:snapToGrid w:val="0"/>
              <w:ind w:left="17" w:hanging="17" w:hangingChars="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highlight w:val="none"/>
              </w:rPr>
              <w:t>服务期为 3 年</w:t>
            </w:r>
          </w:p>
        </w:tc>
        <w:tc>
          <w:tcPr>
            <w:tcW w:w="2638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人民币 85144378.38 元/3年</w:t>
            </w:r>
          </w:p>
        </w:tc>
      </w:tr>
    </w:tbl>
    <w:p>
      <w:pPr>
        <w:autoSpaceDE w:val="0"/>
        <w:autoSpaceDN w:val="0"/>
        <w:adjustRightInd w:val="0"/>
        <w:snapToGrid w:val="0"/>
        <w:ind w:left="17" w:hanging="18" w:hangingChars="8"/>
        <w:jc w:val="left"/>
        <w:rPr>
          <w:rFonts w:hint="eastAsia" w:ascii="仿宋_GB2312" w:hAnsi="仿宋_GB2312" w:eastAsia="仿宋_GB2312" w:cs="仿宋_GB2312"/>
          <w:b/>
          <w:sz w:val="22"/>
          <w:szCs w:val="2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napToGrid w:val="0"/>
        <w:ind w:left="17" w:hanging="18" w:hangingChars="8"/>
        <w:jc w:val="left"/>
        <w:rPr>
          <w:rFonts w:ascii="仿宋_GB2312" w:hAnsi="仿宋_GB2312" w:eastAsia="仿宋_GB2312" w:cs="仿宋_GB2312"/>
          <w:b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22"/>
          <w:szCs w:val="22"/>
          <w:highlight w:val="none"/>
        </w:rPr>
        <w:t>、项目</w:t>
      </w:r>
      <w:r>
        <w:rPr>
          <w:rFonts w:hint="eastAsia" w:ascii="仿宋_GB2312" w:hAnsi="仿宋_GB2312" w:eastAsia="仿宋_GB2312" w:cs="仿宋_GB2312"/>
          <w:b/>
          <w:sz w:val="22"/>
          <w:szCs w:val="22"/>
          <w:highlight w:val="none"/>
          <w:lang w:val="en-US" w:eastAsia="zh-CN"/>
        </w:rPr>
        <w:t>介绍</w:t>
      </w:r>
    </w:p>
    <w:p>
      <w:pPr>
        <w:ind w:left="0" w:leftChars="0" w:firstLine="440" w:firstLineChars="200"/>
        <w:rPr>
          <w:rFonts w:ascii="仿宋_GB2312" w:hAnsi="仿宋_GB2312" w:eastAsia="仿宋_GB2312" w:cs="仿宋_GB2312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深汕中心医院是深圳市政府援建汕尾市的一所学科门类齐全、具有专业特色的三级甲等现代化综合性教学医院。拟建设床位数</w:t>
      </w:r>
      <w:r>
        <w:rPr>
          <w:rFonts w:ascii="仿宋_GB2312" w:hAnsi="仿宋_GB2312" w:eastAsia="仿宋_GB2312" w:cs="仿宋_GB2312"/>
          <w:sz w:val="22"/>
          <w:szCs w:val="22"/>
          <w:highlight w:val="none"/>
        </w:rPr>
        <w:t>800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张，预计日门诊量</w:t>
      </w:r>
      <w:r>
        <w:rPr>
          <w:rFonts w:ascii="仿宋_GB2312" w:hAnsi="仿宋_GB2312" w:eastAsia="仿宋_GB2312" w:cs="仿宋_GB2312"/>
          <w:sz w:val="22"/>
          <w:szCs w:val="22"/>
          <w:highlight w:val="none"/>
        </w:rPr>
        <w:t>6000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人，总建筑面积约</w:t>
      </w:r>
      <w:r>
        <w:rPr>
          <w:rFonts w:ascii="仿宋_GB2312" w:hAnsi="仿宋_GB2312" w:eastAsia="仿宋_GB2312" w:cs="仿宋_GB2312"/>
          <w:sz w:val="22"/>
          <w:szCs w:val="22"/>
          <w:highlight w:val="none"/>
        </w:rPr>
        <w:t>16.6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万平方米。其中医疗功能建筑面积约为</w:t>
      </w:r>
      <w:r>
        <w:rPr>
          <w:rFonts w:ascii="仿宋_GB2312" w:hAnsi="仿宋_GB2312" w:eastAsia="仿宋_GB2312" w:cs="仿宋_GB2312"/>
          <w:sz w:val="22"/>
          <w:szCs w:val="22"/>
          <w:highlight w:val="none"/>
        </w:rPr>
        <w:t>16.1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万平方米，架空绿化建筑面积约为</w:t>
      </w:r>
      <w:r>
        <w:rPr>
          <w:rFonts w:ascii="仿宋_GB2312" w:hAnsi="仿宋_GB2312" w:eastAsia="仿宋_GB2312" w:cs="仿宋_GB2312"/>
          <w:sz w:val="22"/>
          <w:szCs w:val="22"/>
          <w:highlight w:val="none"/>
        </w:rPr>
        <w:t>0.4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万平方米。本项目的服务期为三年，采购预算为人民币85144378.38元/3年，招标岗位预计总数为575个。</w:t>
      </w:r>
    </w:p>
    <w:p>
      <w:pPr>
        <w:autoSpaceDE w:val="0"/>
        <w:autoSpaceDN w:val="0"/>
        <w:ind w:left="17" w:hanging="17" w:hangingChars="8"/>
        <w:rPr>
          <w:rFonts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1、本项目分三个子项单体，即医疗综合区、行政后勤综合区及地下室。总建筑面积166182.72平方米，其中地上建筑面积115573.34平方米，地下建筑面积50609.38平方米。设计核定床位800张，设计门急诊总量为6000人次/天。</w:t>
      </w:r>
    </w:p>
    <w:p>
      <w:pPr>
        <w:autoSpaceDE w:val="0"/>
        <w:autoSpaceDN w:val="0"/>
        <w:ind w:left="17" w:hanging="17" w:hangingChars="8"/>
        <w:rPr>
          <w:rFonts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2、医疗综合楼：地上裙房4层（不含设备层），塔楼15层（含架空层），建筑总高度65.80米。平面功能：主要为门急诊、医技及住院病房等。</w:t>
      </w:r>
    </w:p>
    <w:p>
      <w:pPr>
        <w:autoSpaceDE w:val="0"/>
        <w:autoSpaceDN w:val="0"/>
        <w:ind w:left="17" w:hanging="17" w:hangingChars="8"/>
        <w:rPr>
          <w:rFonts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3、行政后勤综合楼：地上7/6层（含架空层），建筑总高度29.70/28.80米。平面功能：主要为食堂、值班宿舍、会议、行政办公、科研教学等。</w:t>
      </w:r>
    </w:p>
    <w:p>
      <w:pPr>
        <w:autoSpaceDE w:val="0"/>
        <w:autoSpaceDN w:val="0"/>
        <w:ind w:left="17" w:hanging="17" w:hangingChars="8"/>
        <w:rPr>
          <w:rFonts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4、地下室：地下2层，层高为6.0\3.9m，地面覆土约1.2米，地下室整体埋深约9.9米,总建筑面积50609.38m2。主要功能为地下停车库、医技用房、设备用房。该车库在地下一层整体联通。</w:t>
      </w:r>
    </w:p>
    <w:p>
      <w:pPr>
        <w:autoSpaceDE w:val="0"/>
        <w:autoSpaceDN w:val="0"/>
        <w:ind w:left="17" w:hanging="17" w:hangingChars="8"/>
        <w:rPr>
          <w:rFonts w:ascii="仿宋_GB2312" w:hAnsi="仿宋_GB2312" w:eastAsia="仿宋_GB2312" w:cs="仿宋_GB2312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5、人防设施：本人防工程为平战结合甲类民防工程。平时为汽车库，战时为急救医院（核五级常五级、防化乙级）、二等人员掩蔽所（核六级常六级、防化丙级）和区域电站（核五级常五级）。位于地下车库地下二层及局部地下一层。人防建筑面积共19366m</w:t>
      </w:r>
      <w:r>
        <w:rPr>
          <w:rFonts w:hint="eastAsia" w:ascii="仿宋_GB2312" w:hAnsi="仿宋_GB2312" w:eastAsia="仿宋_GB2312" w:cs="仿宋_GB2312"/>
          <w:bCs/>
          <w:sz w:val="22"/>
          <w:szCs w:val="22"/>
          <w:vertAlign w:val="superscript"/>
        </w:rPr>
        <w:t>2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。</w:t>
      </w:r>
    </w:p>
    <w:p>
      <w:pPr>
        <w:autoSpaceDE w:val="0"/>
        <w:autoSpaceDN w:val="0"/>
        <w:adjustRightInd w:val="0"/>
        <w:snapToGrid w:val="0"/>
        <w:ind w:left="17" w:hanging="18" w:hangingChars="8"/>
        <w:jc w:val="left"/>
        <w:rPr>
          <w:rFonts w:ascii="仿宋_GB2312" w:hAnsi="仿宋_GB2312" w:eastAsia="仿宋_GB2312" w:cs="仿宋_GB2312"/>
          <w:b/>
          <w:sz w:val="22"/>
          <w:szCs w:val="22"/>
        </w:rPr>
      </w:pPr>
    </w:p>
    <w:p>
      <w:pPr>
        <w:ind w:left="17" w:right="-31" w:rightChars="-15" w:hanging="18" w:hangingChars="8"/>
        <w:rPr>
          <w:rFonts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</w:rPr>
        <w:t>本项目</w:t>
      </w:r>
      <w:r>
        <w:rPr>
          <w:rFonts w:hint="eastAsia" w:ascii="仿宋_GB2312" w:hAnsi="仿宋_GB2312" w:eastAsia="仿宋_GB2312" w:cs="仿宋_GB2312"/>
          <w:b/>
          <w:sz w:val="22"/>
          <w:szCs w:val="22"/>
          <w:lang w:eastAsia="zh-CN"/>
        </w:rPr>
        <w:t>响应商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>应在对下列岗位费用单独列明报价</w:t>
      </w:r>
      <w:r>
        <w:rPr>
          <w:rFonts w:hint="eastAsia" w:ascii="仿宋_GB2312" w:hAnsi="仿宋_GB2312" w:eastAsia="仿宋_GB2312" w:cs="仿宋_GB2312"/>
          <w:b/>
          <w:sz w:val="22"/>
          <w:szCs w:val="2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22"/>
          <w:szCs w:val="22"/>
          <w:lang w:val="en-US" w:eastAsia="zh-CN"/>
        </w:rPr>
        <w:t>仅作为价格参考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>。</w:t>
      </w:r>
    </w:p>
    <w:p>
      <w:pPr>
        <w:ind w:left="17" w:right="-31" w:rightChars="-15" w:hanging="17" w:hangingChars="8"/>
        <w:rPr>
          <w:rFonts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★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>表一：服务总岗位数及各工种岗位单价</w:t>
      </w:r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250"/>
        <w:gridCol w:w="1434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bookmarkStart w:id="0" w:name="_Hlk54553480"/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岗位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总岗位数(个)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岗位单价最高限价(含税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  <w:t>单位：元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7" w:hanging="17" w:hangingChars="8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A1类（管理岗、司机岗）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元/月·个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7" w:hanging="17" w:hangingChars="8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A2类（工程岗、洗消岗）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64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元/月·个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7" w:hanging="17" w:hangingChars="8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B类（技术岗）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元/月·个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7" w:hanging="17" w:hangingChars="8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C类（保洁岗、储备岗）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201.5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元/月·个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7" w:hanging="17" w:hangingChars="8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D类（运送岗、安保岗）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224.5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元/月·个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7" w:hanging="17" w:hangingChars="8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D类（文员岗）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元/月·个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合计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575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7" w:hanging="17" w:hangingChars="8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bookmarkEnd w:id="0"/>
    </w:tbl>
    <w:p>
      <w:pPr>
        <w:ind w:left="17" w:right="-31" w:rightChars="-15" w:hanging="17" w:hangingChars="8"/>
        <w:rPr>
          <w:rFonts w:ascii="仿宋_GB2312" w:hAnsi="仿宋_GB2312" w:eastAsia="仿宋_GB2312" w:cs="仿宋_GB2312"/>
          <w:sz w:val="22"/>
          <w:szCs w:val="22"/>
        </w:rPr>
      </w:pPr>
    </w:p>
    <w:p>
      <w:pPr>
        <w:ind w:left="17" w:right="-31" w:rightChars="-15" w:hanging="18" w:hangingChars="8"/>
        <w:rPr>
          <w:rFonts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</w:rPr>
        <w:t>★表二：专项服务费用单价</w:t>
      </w:r>
    </w:p>
    <w:tbl>
      <w:tblPr>
        <w:tblStyle w:val="6"/>
        <w:tblW w:w="5049" w:type="pct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30"/>
        <w:gridCol w:w="1358"/>
        <w:gridCol w:w="4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bookmarkStart w:id="1" w:name="_Hlk54552899"/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年费用单价最高限价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（元/年）</w:t>
            </w:r>
          </w:p>
        </w:tc>
        <w:tc>
          <w:tcPr>
            <w:tcW w:w="26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备注（含单价最高限价）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四害消杀及白蚁防治服务费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四害消杀每月四次，白蚁防治按需提供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消防系统维保费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含1000元以内的耗材及配件费用，超出部分由医院承担，需至少驻场一名工程师（工作日在岗），如采购合同中附赠维保服务的，附赠维保期内不收取此项费用。每天进行故障巡检检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修更换、每月全面检查1次消防设施设备，及时排除消防隐患，每季度进行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1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次消火栓抽检。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生活垃圾外运费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实行包干制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化粪池、隔油池清洗费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化粪池清掏一年2次，每季度免费帮疏通一次。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电梯维保费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需至少驻场两名工程师（工作日在岗），含1000元以内的耗材及配件费用，超出部分由医院承担，如采购合同中附赠维保服务的，附赠维保期内不收取此项费用。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45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bookmarkEnd w:id="1"/>
    </w:tbl>
    <w:p>
      <w:pPr>
        <w:ind w:left="17" w:right="-31" w:rightChars="-15" w:hanging="18" w:hangingChars="8"/>
        <w:rPr>
          <w:rFonts w:ascii="仿宋_GB2312" w:hAnsi="仿宋_GB2312" w:eastAsia="仿宋_GB2312" w:cs="仿宋_GB2312"/>
          <w:b/>
          <w:sz w:val="22"/>
          <w:szCs w:val="22"/>
        </w:rPr>
      </w:pPr>
    </w:p>
    <w:p>
      <w:pPr>
        <w:ind w:left="17" w:right="-31" w:rightChars="-15" w:hanging="18" w:hangingChars="8"/>
        <w:rPr>
          <w:rFonts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</w:rPr>
        <w:t>★表三：</w:t>
      </w:r>
      <w:r>
        <w:rPr>
          <w:rFonts w:hint="eastAsia" w:ascii="仿宋" w:hAnsi="仿宋" w:eastAsia="仿宋" w:cs="宋体"/>
          <w:b/>
          <w:color w:val="000000"/>
          <w:kern w:val="0"/>
          <w:sz w:val="22"/>
          <w:szCs w:val="22"/>
        </w:rPr>
        <w:t>其他服务项目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>的单价最高限价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97"/>
        <w:gridCol w:w="381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bookmarkStart w:id="2" w:name="_Hlk54553468"/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序号</w:t>
            </w:r>
          </w:p>
        </w:tc>
        <w:tc>
          <w:tcPr>
            <w:tcW w:w="1997" w:type="dxa"/>
            <w:vAlign w:val="center"/>
          </w:tcPr>
          <w:p>
            <w:pPr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内容</w:t>
            </w:r>
          </w:p>
        </w:tc>
        <w:tc>
          <w:tcPr>
            <w:tcW w:w="3815" w:type="dxa"/>
            <w:vAlign w:val="center"/>
          </w:tcPr>
          <w:p>
            <w:pPr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使用品牌及相关说明</w:t>
            </w:r>
          </w:p>
        </w:tc>
        <w:tc>
          <w:tcPr>
            <w:tcW w:w="2430" w:type="dxa"/>
          </w:tcPr>
          <w:p>
            <w:pPr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单价最高限价(含税）</w:t>
            </w:r>
          </w:p>
          <w:p>
            <w:pPr>
              <w:ind w:left="17" w:hanging="18" w:hangingChars="8"/>
              <w:jc w:val="center"/>
              <w:rPr>
                <w:rFonts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（元/平方）米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ind w:left="17" w:hanging="17" w:hangingChars="8"/>
              <w:jc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1</w:t>
            </w:r>
          </w:p>
        </w:tc>
        <w:tc>
          <w:tcPr>
            <w:tcW w:w="1997" w:type="dxa"/>
            <w:vAlign w:val="center"/>
          </w:tcPr>
          <w:p>
            <w:pPr>
              <w:ind w:left="15" w:hanging="16" w:hangingChars="8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  <w:t>PVC地板胶打蜡</w:t>
            </w:r>
          </w:p>
        </w:tc>
        <w:tc>
          <w:tcPr>
            <w:tcW w:w="3815" w:type="dxa"/>
            <w:vAlign w:val="center"/>
          </w:tcPr>
          <w:p>
            <w:pPr>
              <w:ind w:left="17" w:hanging="17" w:hangingChars="8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使用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正规、符合国家环保标准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品牌蜡水，按两层底蜡三层面蜡的标准，如效果不佳或验收不合格不予结算。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ind w:left="15" w:hanging="16" w:hangingChars="8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  <w:t>2</w:t>
            </w:r>
          </w:p>
        </w:tc>
        <w:tc>
          <w:tcPr>
            <w:tcW w:w="1997" w:type="dxa"/>
            <w:vAlign w:val="center"/>
          </w:tcPr>
          <w:p>
            <w:pPr>
              <w:ind w:left="15" w:hanging="16" w:hangingChars="8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  <w:t>石材地面的晶面处理</w:t>
            </w:r>
          </w:p>
        </w:tc>
        <w:tc>
          <w:tcPr>
            <w:tcW w:w="3815" w:type="dxa"/>
            <w:vAlign w:val="center"/>
          </w:tcPr>
          <w:p>
            <w:pPr>
              <w:ind w:left="17" w:hanging="17" w:hangingChars="8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使用庄臣等同等级或以上品牌镜面处理剂翻新，如效果不佳或验收不合格不予结算。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ind w:left="15" w:hanging="16" w:hangingChars="8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  <w:t>3</w:t>
            </w:r>
          </w:p>
        </w:tc>
        <w:tc>
          <w:tcPr>
            <w:tcW w:w="1997" w:type="dxa"/>
            <w:vAlign w:val="center"/>
          </w:tcPr>
          <w:p>
            <w:pPr>
              <w:ind w:left="15" w:hanging="16" w:hangingChars="8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  <w:t>石材地面的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</w:rPr>
              <w:t>抛光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  <w:t>处理</w:t>
            </w:r>
          </w:p>
        </w:tc>
        <w:tc>
          <w:tcPr>
            <w:tcW w:w="3815" w:type="dxa"/>
            <w:vAlign w:val="center"/>
          </w:tcPr>
          <w:p>
            <w:pPr>
              <w:ind w:left="17" w:hanging="17" w:hangingChars="8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使用庄臣等同等级或以上品牌抛光蜡进行抛光处理，如效果不佳或验收不合格不予结算。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ind w:left="15" w:hanging="16" w:hangingChars="8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  <w:t>4</w:t>
            </w:r>
          </w:p>
        </w:tc>
        <w:tc>
          <w:tcPr>
            <w:tcW w:w="1997" w:type="dxa"/>
            <w:vAlign w:val="center"/>
          </w:tcPr>
          <w:p>
            <w:pPr>
              <w:ind w:left="15" w:hanging="16" w:hangingChars="8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2"/>
                <w:szCs w:val="22"/>
              </w:rPr>
              <w:t>外墙清洗</w:t>
            </w:r>
          </w:p>
        </w:tc>
        <w:tc>
          <w:tcPr>
            <w:tcW w:w="3815" w:type="dxa"/>
            <w:vAlign w:val="center"/>
          </w:tcPr>
          <w:p>
            <w:pPr>
              <w:ind w:left="15" w:hanging="16" w:hangingChars="8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10"/>
                <w:sz w:val="22"/>
                <w:szCs w:val="22"/>
                <w:lang w:val="zh-CN"/>
              </w:rPr>
              <w:t>使用庄臣等同等级或以上品牌清洗剂进行外立面清洗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，如效果不佳或验收不合格不予结算。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</w:p>
        </w:tc>
      </w:tr>
      <w:bookmarkEnd w:id="2"/>
    </w:tbl>
    <w:p>
      <w:pPr>
        <w:ind w:left="17" w:hanging="18" w:hangingChars="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</w:rPr>
        <w:t xml:space="preserve">    备注：</w:t>
      </w:r>
      <w:r>
        <w:rPr>
          <w:rFonts w:hint="eastAsia" w:ascii="仿宋_GB2312" w:hAnsi="仿宋_GB2312" w:eastAsia="仿宋_GB2312" w:cs="仿宋_GB2312"/>
          <w:sz w:val="22"/>
          <w:szCs w:val="22"/>
        </w:rPr>
        <w:t>表三中费用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按实际产生面积结算，不包含在本</w:t>
      </w:r>
      <w:r>
        <w:rPr>
          <w:rFonts w:hint="eastAsia" w:ascii="仿宋_GB2312" w:hAnsi="仿宋_GB2312" w:eastAsia="仿宋_GB2312" w:cs="仿宋_GB2312"/>
          <w:sz w:val="22"/>
          <w:szCs w:val="22"/>
        </w:rPr>
        <w:t>投标总价内。</w:t>
      </w:r>
    </w:p>
    <w:p>
      <w:pPr>
        <w:ind w:left="17" w:right="-31" w:rightChars="-15" w:hanging="18" w:hangingChars="8"/>
        <w:rPr>
          <w:rFonts w:hint="eastAsia" w:ascii="仿宋_GB2312" w:hAnsi="仿宋_GB2312" w:eastAsia="仿宋_GB2312" w:cs="仿宋_GB2312"/>
          <w:b/>
          <w:sz w:val="22"/>
          <w:szCs w:val="22"/>
          <w:highlight w:val="none"/>
        </w:rPr>
      </w:pPr>
    </w:p>
    <w:p>
      <w:pPr>
        <w:ind w:left="17" w:right="-31" w:rightChars="-15" w:hanging="18" w:hangingChars="8"/>
        <w:rPr>
          <w:rFonts w:ascii="仿宋_GB2312" w:hAnsi="仿宋_GB2312" w:eastAsia="仿宋_GB2312" w:cs="仿宋_GB2312"/>
          <w:b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  <w:highlight w:val="none"/>
        </w:rPr>
        <w:t>二、后勤管理服务总体要求</w:t>
      </w:r>
    </w:p>
    <w:p>
      <w:pPr>
        <w:numPr>
          <w:ilvl w:val="-1"/>
          <w:numId w:val="0"/>
        </w:numPr>
        <w:tabs>
          <w:tab w:val="left" w:pos="0"/>
        </w:tabs>
        <w:ind w:left="0" w:leftChars="0" w:firstLine="440" w:firstLineChars="200"/>
        <w:rPr>
          <w:rFonts w:hint="eastAsia" w:ascii="仿宋_GB2312" w:hAnsi="仿宋_GB2312" w:eastAsia="仿宋_GB2312" w:cs="仿宋_GB2312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管理服务需求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清洁卫生服务、院内运送服务、特殊监护区域清洁消毒服务、手术室清洁消毒服务、供应室岗位服务、电梯服务及电梯驾驶员服务需求书、院感管理服务、物业洗衣房服务、前台及会务服务服务、宿舍管理服务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科室助理服务、司机班服务、工程服务、安保服务、绿化服务、管理人员服务、专项服务等。</w:t>
      </w:r>
    </w:p>
    <w:p>
      <w:pPr>
        <w:numPr>
          <w:ilvl w:val="-1"/>
          <w:numId w:val="0"/>
        </w:numPr>
        <w:tabs>
          <w:tab w:val="left" w:pos="0"/>
        </w:tabs>
        <w:ind w:left="0" w:leftChars="0" w:firstLine="440" w:firstLineChars="200"/>
        <w:rPr>
          <w:rFonts w:hint="eastAsia" w:ascii="仿宋_GB2312" w:hAnsi="仿宋_GB2312" w:eastAsia="仿宋_GB2312" w:cs="仿宋_GB2312"/>
          <w:sz w:val="22"/>
          <w:szCs w:val="22"/>
          <w:highlight w:val="none"/>
        </w:rPr>
      </w:pPr>
    </w:p>
    <w:p>
      <w:pPr>
        <w:numPr>
          <w:ilvl w:val="-1"/>
          <w:numId w:val="0"/>
        </w:numPr>
        <w:ind w:left="-17" w:leftChars="-8" w:firstLine="0" w:firstLineChars="0"/>
        <w:rPr>
          <w:rFonts w:hint="default" w:ascii="仿宋_GB2312" w:hAnsi="仿宋_GB2312" w:eastAsia="仿宋_GB2312" w:cs="仿宋_GB2312"/>
          <w:b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三、按照以下模板提供参数方案</w:t>
      </w:r>
    </w:p>
    <w:p>
      <w:pPr>
        <w:ind w:left="17" w:hanging="17" w:hangingChars="8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后勤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服务岗位</w:t>
      </w:r>
    </w:p>
    <w:p>
      <w:pPr>
        <w:numPr>
          <w:ilvl w:val="-1"/>
          <w:numId w:val="0"/>
        </w:numPr>
        <w:ind w:left="0" w:leftChars="0" w:firstLine="0" w:firstLineChars="0"/>
        <w:rPr>
          <w:rFonts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sz w:val="22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岗位要求</w:t>
      </w:r>
    </w:p>
    <w:p>
      <w:pPr>
        <w:ind w:left="17" w:hanging="17" w:hangingChars="8"/>
        <w:rPr>
          <w:rFonts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服务范围</w:t>
      </w:r>
    </w:p>
    <w:p>
      <w:pPr>
        <w:tabs>
          <w:tab w:val="left" w:pos="426"/>
        </w:tabs>
        <w:ind w:left="17" w:hanging="17" w:hangingChars="8"/>
        <w:rPr>
          <w:rFonts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服务要求</w:t>
      </w:r>
    </w:p>
    <w:p>
      <w:pPr>
        <w:tabs>
          <w:tab w:val="left" w:pos="0"/>
          <w:tab w:val="left" w:pos="360"/>
        </w:tabs>
        <w:ind w:left="17" w:hanging="17" w:hangingChars="8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服务规范</w:t>
      </w:r>
    </w:p>
    <w:p>
      <w:pPr>
        <w:ind w:left="17" w:hanging="17" w:hangingChars="8"/>
        <w:rPr>
          <w:rFonts w:hint="eastAsia" w:ascii="仿宋_GB2312" w:hAnsi="仿宋_GB2312" w:eastAsia="仿宋_GB2312" w:cs="仿宋_GB2312"/>
          <w:b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sz w:val="22"/>
          <w:szCs w:val="22"/>
        </w:rPr>
        <w:t>其他要求</w:t>
      </w:r>
    </w:p>
    <w:p>
      <w:pPr>
        <w:ind w:left="17" w:hanging="17" w:hangingChars="8"/>
        <w:rPr>
          <w:rFonts w:hint="eastAsia" w:ascii="仿宋_GB2312" w:hAnsi="仿宋_GB2312" w:eastAsia="仿宋_GB2312" w:cs="仿宋_GB2312"/>
          <w:b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sz w:val="22"/>
          <w:szCs w:val="22"/>
          <w:lang w:val="en-US" w:eastAsia="zh-CN"/>
        </w:rPr>
        <w:t>二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sz w:val="22"/>
          <w:szCs w:val="2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</w:rPr>
        <w:t>后勤保障专项服务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仿宋_GB2312" w:hAnsi="仿宋_GB2312" w:eastAsia="仿宋_GB2312" w:cs="仿宋_GB2312"/>
          <w:b/>
          <w:sz w:val="22"/>
          <w:szCs w:val="22"/>
        </w:rPr>
      </w:pPr>
      <w:r>
        <w:rPr>
          <w:rFonts w:hint="eastAsia"/>
          <w:sz w:val="22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2"/>
          <w:szCs w:val="22"/>
          <w:highlight w:val="none"/>
        </w:rPr>
        <w:t>全院各类专业服务，主要包括生活垃圾及医疗废弃物外运、四害消杀及白蚁防治、消防系统维保、电梯系统维保、化粪池清洗清运。</w:t>
      </w:r>
    </w:p>
    <w:p>
      <w:pPr>
        <w:snapToGrid w:val="0"/>
        <w:ind w:left="17" w:hanging="18" w:hangingChars="8"/>
        <w:jc w:val="center"/>
        <w:rPr>
          <w:rFonts w:ascii="仿宋_GB2312" w:hAnsi="仿宋_GB2312" w:eastAsia="仿宋_GB2312" w:cs="仿宋_GB2312"/>
          <w:b/>
          <w:sz w:val="22"/>
          <w:szCs w:val="22"/>
        </w:rPr>
      </w:pPr>
    </w:p>
    <w:p>
      <w:pPr>
        <w:numPr>
          <w:ilvl w:val="0"/>
          <w:numId w:val="1"/>
        </w:numPr>
        <w:snapToGrid/>
        <w:ind w:left="-17" w:leftChars="-8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后勤服务质量监控办法</w:t>
      </w:r>
    </w:p>
    <w:p>
      <w:pPr>
        <w:widowControl/>
        <w:numPr>
          <w:ilvl w:val="0"/>
          <w:numId w:val="0"/>
        </w:numPr>
        <w:snapToGrid/>
        <w:ind w:left="-17" w:leftChars="-8" w:firstLine="420" w:firstLineChars="0"/>
        <w:jc w:val="left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提供保洁、运送、工程、安保、科室助理、门岗、服务大队、电梯驾驶员等各岗位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及各专项服务的</w:t>
      </w:r>
      <w:r>
        <w:rPr>
          <w:rFonts w:hint="eastAsia" w:ascii="仿宋_GB2312" w:hAnsi="仿宋_GB2312" w:eastAsia="仿宋_GB2312" w:cs="仿宋_GB2312"/>
          <w:sz w:val="22"/>
          <w:szCs w:val="22"/>
        </w:rPr>
        <w:t>工作制度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工作流程</w:t>
      </w:r>
      <w:r>
        <w:rPr>
          <w:rFonts w:hint="eastAsia" w:ascii="仿宋_GB2312" w:hAnsi="仿宋_GB2312" w:eastAsia="仿宋_GB2312" w:cs="仿宋_GB2312"/>
          <w:sz w:val="22"/>
          <w:szCs w:val="22"/>
        </w:rPr>
        <w:t>及岗位职责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包括但不仅限于以下内容）</w:t>
      </w:r>
    </w:p>
    <w:p>
      <w:pPr>
        <w:numPr>
          <w:ilvl w:val="0"/>
          <w:numId w:val="0"/>
        </w:numPr>
        <w:snapToGrid w:val="0"/>
        <w:ind w:leftChars="-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2"/>
          <w:szCs w:val="22"/>
        </w:rPr>
        <w:t>提供驻场经理、各部门主管名单和各岗位设置、岗位说明及人员安排计划表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snapToGrid w:val="0"/>
        <w:ind w:leftChars="-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2"/>
          <w:szCs w:val="22"/>
        </w:rPr>
        <w:t>提供年度管理目标，管理模式、运作流程以及保洁、运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22"/>
          <w:szCs w:val="22"/>
        </w:rPr>
        <w:t>等方面的详细工作计划，尤其是周期性和循环性保洁工作内容。</w:t>
      </w:r>
    </w:p>
    <w:p>
      <w:pPr>
        <w:numPr>
          <w:ilvl w:val="0"/>
          <w:numId w:val="0"/>
        </w:numPr>
        <w:snapToGrid w:val="0"/>
        <w:ind w:leftChars="-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2"/>
          <w:szCs w:val="22"/>
        </w:rPr>
        <w:t>提供公司对员工的业务、素质等方面的培训计划、培训授课材料。</w:t>
      </w:r>
    </w:p>
    <w:p>
      <w:pPr>
        <w:numPr>
          <w:ilvl w:val="0"/>
          <w:numId w:val="0"/>
        </w:numPr>
        <w:snapToGrid w:val="0"/>
        <w:ind w:leftChars="-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2"/>
          <w:szCs w:val="22"/>
        </w:rPr>
        <w:t>提供保洁、运送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22"/>
          <w:szCs w:val="22"/>
        </w:rPr>
        <w:t>等方面的主管质量巡查记录和培训记录。</w:t>
      </w:r>
    </w:p>
    <w:p>
      <w:pPr>
        <w:numPr>
          <w:ilvl w:val="0"/>
          <w:numId w:val="0"/>
        </w:numPr>
        <w:snapToGrid w:val="0"/>
        <w:ind w:leftChars="-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2"/>
          <w:szCs w:val="22"/>
        </w:rPr>
        <w:t>提供保洁、运送等工作质量考评意见表。</w:t>
      </w:r>
    </w:p>
    <w:p>
      <w:pPr>
        <w:numPr>
          <w:ilvl w:val="0"/>
          <w:numId w:val="0"/>
        </w:numPr>
        <w:snapToGrid w:val="0"/>
        <w:ind w:leftChars="-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2"/>
          <w:szCs w:val="22"/>
        </w:rPr>
        <w:t>提供要求的部门员工的工作排班表。</w:t>
      </w:r>
    </w:p>
    <w:p>
      <w:pPr>
        <w:numPr>
          <w:ilvl w:val="0"/>
          <w:numId w:val="0"/>
        </w:numPr>
        <w:ind w:leftChars="0" w:firstLine="0" w:firstLineChars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numPr>
          <w:ilvl w:val="0"/>
          <w:numId w:val="1"/>
        </w:numPr>
        <w:ind w:left="-17" w:leftChars="-8" w:firstLine="0" w:firstLineChars="0"/>
        <w:rPr>
          <w:rFonts w:hint="eastAsia" w:ascii="仿宋_GB2312" w:hAnsi="仿宋_GB2312" w:eastAsia="仿宋_GB2312" w:cs="仿宋_GB2312"/>
          <w:b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</w:rPr>
        <w:t>物业考核项目及细则</w:t>
      </w:r>
    </w:p>
    <w:p>
      <w:pPr>
        <w:numPr>
          <w:ilvl w:val="0"/>
          <w:numId w:val="0"/>
        </w:numPr>
        <w:ind w:leftChars="-8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提供针对</w:t>
      </w:r>
      <w:r>
        <w:rPr>
          <w:rFonts w:hint="eastAsia" w:ascii="仿宋_GB2312" w:hAnsi="仿宋_GB2312" w:eastAsia="仿宋_GB2312" w:cs="仿宋_GB2312"/>
          <w:sz w:val="22"/>
          <w:szCs w:val="22"/>
        </w:rPr>
        <w:t>保洁、运送、工程、安保、科室助理、门岗、服务大队、电梯驾驶员等各岗位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及各种专项服务的工作考核标准及评分细则</w:t>
      </w:r>
    </w:p>
    <w:p>
      <w:pPr>
        <w:numPr>
          <w:ilvl w:val="0"/>
          <w:numId w:val="0"/>
        </w:numPr>
        <w:ind w:leftChars="-8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ind w:left="17" w:hanging="18" w:hangingChars="8"/>
        <w:rPr>
          <w:rFonts w:ascii="仿宋_GB2312" w:hAnsi="仿宋_GB2312" w:eastAsia="仿宋_GB2312" w:cs="仿宋_GB2312"/>
          <w:b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、 物业管理质量指标要求</w:t>
      </w:r>
    </w:p>
    <w:p>
      <w:pPr>
        <w:numPr>
          <w:ilvl w:val="0"/>
          <w:numId w:val="0"/>
        </w:numPr>
        <w:ind w:leftChars="-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2"/>
          <w:szCs w:val="22"/>
        </w:rPr>
        <w:t>参照国家及省、市对物业管的质量指标的有关规定、具体标准，结合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响应商</w:t>
      </w:r>
      <w:r>
        <w:rPr>
          <w:rFonts w:hint="eastAsia" w:ascii="仿宋_GB2312" w:hAnsi="仿宋_GB2312" w:eastAsia="仿宋_GB2312" w:cs="仿宋_GB2312"/>
          <w:sz w:val="22"/>
          <w:szCs w:val="22"/>
        </w:rPr>
        <w:t>自身的管理服务水平，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响应商</w:t>
      </w:r>
      <w:r>
        <w:rPr>
          <w:rFonts w:hint="eastAsia" w:ascii="仿宋_GB2312" w:hAnsi="仿宋_GB2312" w:eastAsia="仿宋_GB2312" w:cs="仿宋_GB2312"/>
          <w:sz w:val="22"/>
          <w:szCs w:val="22"/>
        </w:rPr>
        <w:t>要具体承诺物业管理各项目要达到的指标，包括（但不限于）清洁保洁率；运送安全率；电梯高效平稳运行率；公用设施场所完好率；用户投诉率；物业使用人对物业管理的满意率等。</w:t>
      </w:r>
    </w:p>
    <w:p>
      <w:pPr>
        <w:numPr>
          <w:ilvl w:val="0"/>
          <w:numId w:val="0"/>
        </w:numPr>
        <w:ind w:leftChars="-8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响应商</w:t>
      </w:r>
      <w:r>
        <w:rPr>
          <w:rFonts w:hint="eastAsia" w:ascii="仿宋_GB2312" w:hAnsi="仿宋_GB2312" w:eastAsia="仿宋_GB2312" w:cs="仿宋_GB2312"/>
          <w:sz w:val="22"/>
          <w:szCs w:val="22"/>
        </w:rPr>
        <w:t>为完成承诺指标采取的措施。</w:t>
      </w:r>
    </w:p>
    <w:p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3.响应商对于管理缺陷的相关惩罚措施。</w:t>
      </w:r>
    </w:p>
    <w:p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-8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七．郑重提示：</w:t>
      </w:r>
    </w:p>
    <w:p>
      <w:pPr>
        <w:numPr>
          <w:ilvl w:val="0"/>
          <w:numId w:val="0"/>
        </w:num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1.以上资料可以以word/ppt等多样化形式呈现，所含内容包含但不仅限于以上要求。</w:t>
      </w:r>
    </w:p>
    <w:p>
      <w:pPr>
        <w:numPr>
          <w:ilvl w:val="0"/>
          <w:numId w:val="0"/>
        </w:numPr>
        <w:ind w:firstLine="440" w:firstLineChars="200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2.务必真实有效，且在有效期内。该市场调研并非采购行为，各单位提供的相关信息仅有助于提高本单位对项目的认知，不作为本单位采购行为的任何承诺。</w:t>
      </w:r>
    </w:p>
    <w:p>
      <w:pPr>
        <w:numPr>
          <w:ilvl w:val="0"/>
          <w:numId w:val="0"/>
        </w:numPr>
        <w:ind w:leftChars="-8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22"/>
          <w:szCs w:val="22"/>
        </w:rPr>
      </w:pPr>
    </w:p>
    <w:p>
      <w:pPr>
        <w:rPr>
          <w:rFonts w:ascii="仿宋_GB2312" w:hAnsi="仿宋_GB2312" w:eastAsia="仿宋_GB2312" w:cs="仿宋_GB2312"/>
          <w:sz w:val="22"/>
          <w:szCs w:val="22"/>
        </w:rPr>
      </w:pPr>
    </w:p>
    <w:p>
      <w:pPr>
        <w:rPr>
          <w:rFonts w:ascii="仿宋_GB2312" w:hAnsi="仿宋_GB2312" w:eastAsia="仿宋_GB2312" w:cs="仿宋_GB2312"/>
          <w:sz w:val="22"/>
          <w:szCs w:val="22"/>
        </w:rPr>
      </w:pPr>
    </w:p>
    <w:p>
      <w:pP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                                 中山大学孙逸仙纪念医院深汕中心医院</w:t>
      </w:r>
    </w:p>
    <w:p>
      <w:pP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                                         2023年10月19日</w:t>
      </w:r>
    </w:p>
    <w:p>
      <w:pPr>
        <w:rPr>
          <w:rFonts w:ascii="仿宋_GB2312" w:hAnsi="仿宋_GB2312" w:eastAsia="仿宋_GB2312" w:cs="仿宋_GB2312"/>
          <w:sz w:val="22"/>
          <w:szCs w:val="22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BD62D"/>
    <w:multiLevelType w:val="singleLevel"/>
    <w:tmpl w:val="71BBD62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jUzNmJiNGMzZjAwNTE2ODRjOThlYjQ0MjhmYjMifQ=="/>
  </w:docVars>
  <w:rsids>
    <w:rsidRoot w:val="00000000"/>
    <w:rsid w:val="0BE776F3"/>
    <w:rsid w:val="0C971197"/>
    <w:rsid w:val="0E0D6EB5"/>
    <w:rsid w:val="0E351833"/>
    <w:rsid w:val="0E390303"/>
    <w:rsid w:val="10BF44A8"/>
    <w:rsid w:val="10F575A7"/>
    <w:rsid w:val="1243162F"/>
    <w:rsid w:val="12BF1EBC"/>
    <w:rsid w:val="13724C92"/>
    <w:rsid w:val="1D4371F4"/>
    <w:rsid w:val="1EBF22DB"/>
    <w:rsid w:val="227C2CD5"/>
    <w:rsid w:val="25D225DE"/>
    <w:rsid w:val="2B622838"/>
    <w:rsid w:val="2C8F5DE7"/>
    <w:rsid w:val="33D350E2"/>
    <w:rsid w:val="381D20BA"/>
    <w:rsid w:val="39F17E97"/>
    <w:rsid w:val="3D4C426D"/>
    <w:rsid w:val="412E527A"/>
    <w:rsid w:val="468716B4"/>
    <w:rsid w:val="46AD4102"/>
    <w:rsid w:val="498A28EB"/>
    <w:rsid w:val="4C540CE2"/>
    <w:rsid w:val="4F877F6E"/>
    <w:rsid w:val="50470306"/>
    <w:rsid w:val="55BC15F0"/>
    <w:rsid w:val="5E220CC3"/>
    <w:rsid w:val="609F0AA3"/>
    <w:rsid w:val="62E16D0D"/>
    <w:rsid w:val="66217573"/>
    <w:rsid w:val="724A3880"/>
    <w:rsid w:val="7A8F5871"/>
    <w:rsid w:val="7E727E1F"/>
    <w:rsid w:val="7F32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U_正文2"/>
    <w:basedOn w:val="1"/>
    <w:qFormat/>
    <w:uiPriority w:val="0"/>
    <w:pPr>
      <w:spacing w:beforeLines="10" w:afterLines="10" w:line="300" w:lineRule="auto"/>
    </w:pPr>
    <w:rPr>
      <w:sz w:val="24"/>
    </w:rPr>
  </w:style>
  <w:style w:type="paragraph" w:customStyle="1" w:styleId="11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2022-01-28T03:27:00Z</dcterms:created>
  <dc:creator>Administrator</dc:creator>
  <cp:lastModifiedBy>郑秋君</cp:lastModifiedBy>
  <dcterms:modified xsi:type="dcterms:W3CDTF">2023-10-19T08:16:17Z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D0F657C8C3554293BA9A4DEF1FB4B67A</vt:lpwstr>
  </property>
</Properties>
</file>