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Arial Unicode MS"/>
          <w:b/>
          <w:bCs/>
          <w:kern w:val="0"/>
          <w:sz w:val="40"/>
          <w:szCs w:val="40"/>
          <w:lang w:val="en-US" w:eastAsia="zh-CN"/>
        </w:rPr>
      </w:pPr>
      <w:r>
        <w:rPr>
          <w:rFonts w:hint="eastAsia" w:ascii="仿宋" w:hAnsi="仿宋" w:eastAsia="仿宋" w:cs="Arial Unicode MS"/>
          <w:b/>
          <w:bCs/>
          <w:kern w:val="0"/>
          <w:sz w:val="40"/>
          <w:szCs w:val="40"/>
        </w:rPr>
        <w:t>中山大学孙逸仙纪念医院深汕中心医院停车场服务项目</w:t>
      </w:r>
      <w:r>
        <w:rPr>
          <w:rFonts w:hint="eastAsia" w:ascii="仿宋" w:hAnsi="仿宋" w:eastAsia="仿宋" w:cs="Arial Unicode MS"/>
          <w:b/>
          <w:bCs/>
          <w:kern w:val="0"/>
          <w:sz w:val="40"/>
          <w:szCs w:val="40"/>
          <w:lang w:val="en-US" w:eastAsia="zh-CN"/>
        </w:rPr>
        <w:t>遴选文件</w:t>
      </w:r>
    </w:p>
    <w:p>
      <w:pPr>
        <w:jc w:val="center"/>
        <w:rPr>
          <w:rFonts w:hint="default" w:ascii="仿宋" w:hAnsi="仿宋" w:eastAsia="仿宋" w:cs="Arial Unicode MS"/>
          <w:b/>
          <w:bCs/>
          <w:kern w:val="0"/>
          <w:sz w:val="40"/>
          <w:szCs w:val="40"/>
          <w:lang w:val="en-US" w:eastAsia="zh-CN"/>
        </w:rPr>
      </w:pPr>
    </w:p>
    <w:p>
      <w:pPr>
        <w:widowControl/>
        <w:numPr>
          <w:ilvl w:val="0"/>
          <w:numId w:val="2"/>
        </w:numPr>
        <w:spacing w:line="360" w:lineRule="exact"/>
        <w:jc w:val="left"/>
        <w:rPr>
          <w:rFonts w:hint="eastAsia" w:ascii="仿宋" w:hAnsi="仿宋" w:eastAsia="仿宋" w:cs="Arial Unicode MS"/>
          <w:kern w:val="0"/>
          <w:sz w:val="24"/>
          <w:szCs w:val="24"/>
        </w:rPr>
      </w:pPr>
      <w:r>
        <w:rPr>
          <w:rFonts w:hint="eastAsia" w:ascii="仿宋" w:hAnsi="仿宋" w:eastAsia="仿宋" w:cs="Arial Unicode MS"/>
          <w:b/>
          <w:bCs/>
          <w:kern w:val="0"/>
          <w:sz w:val="24"/>
          <w:szCs w:val="24"/>
        </w:rPr>
        <w:t>采购类别：</w:t>
      </w:r>
      <w:r>
        <w:rPr>
          <w:rFonts w:hint="eastAsia" w:ascii="仿宋" w:hAnsi="仿宋" w:eastAsia="仿宋" w:cs="Arial Unicode MS"/>
          <w:kern w:val="0"/>
          <w:sz w:val="24"/>
          <w:szCs w:val="24"/>
        </w:rPr>
        <w:t>服务类采购</w:t>
      </w:r>
    </w:p>
    <w:p>
      <w:pPr>
        <w:widowControl/>
        <w:numPr>
          <w:ilvl w:val="0"/>
          <w:numId w:val="0"/>
        </w:numPr>
        <w:spacing w:line="360" w:lineRule="exact"/>
        <w:jc w:val="left"/>
        <w:rPr>
          <w:rFonts w:hint="eastAsia" w:ascii="仿宋" w:hAnsi="仿宋" w:eastAsia="仿宋" w:cs="Arial Unicode MS"/>
          <w:kern w:val="0"/>
          <w:sz w:val="24"/>
          <w:szCs w:val="24"/>
        </w:rPr>
      </w:pPr>
    </w:p>
    <w:p>
      <w:pPr>
        <w:widowControl/>
        <w:numPr>
          <w:ilvl w:val="0"/>
          <w:numId w:val="2"/>
        </w:numPr>
        <w:spacing w:line="360" w:lineRule="exact"/>
        <w:ind w:left="0" w:leftChars="0" w:firstLine="0" w:firstLineChars="0"/>
        <w:jc w:val="left"/>
        <w:rPr>
          <w:rFonts w:hint="eastAsia" w:ascii="仿宋" w:hAnsi="仿宋" w:eastAsia="仿宋" w:cs="Arial Unicode MS"/>
          <w:kern w:val="0"/>
          <w:sz w:val="24"/>
          <w:szCs w:val="24"/>
        </w:rPr>
      </w:pPr>
      <w:r>
        <w:rPr>
          <w:rFonts w:hint="eastAsia" w:ascii="仿宋" w:hAnsi="仿宋" w:eastAsia="仿宋" w:cs="Arial Unicode MS"/>
          <w:b/>
          <w:bCs/>
          <w:kern w:val="0"/>
          <w:sz w:val="24"/>
          <w:szCs w:val="24"/>
        </w:rPr>
        <w:t>项目名称：</w:t>
      </w:r>
      <w:r>
        <w:rPr>
          <w:rFonts w:hint="eastAsia" w:ascii="仿宋" w:hAnsi="仿宋" w:eastAsia="仿宋" w:cs="Arial Unicode MS"/>
          <w:kern w:val="0"/>
          <w:sz w:val="24"/>
          <w:szCs w:val="24"/>
        </w:rPr>
        <w:t>中山大学孙逸仙纪念医院深汕中心医院停车场服务项目</w:t>
      </w:r>
    </w:p>
    <w:p>
      <w:pPr>
        <w:widowControl/>
        <w:numPr>
          <w:ilvl w:val="0"/>
          <w:numId w:val="0"/>
        </w:numPr>
        <w:spacing w:line="360" w:lineRule="exact"/>
        <w:ind w:leftChars="0"/>
        <w:jc w:val="left"/>
        <w:rPr>
          <w:rFonts w:hint="eastAsia" w:ascii="仿宋" w:hAnsi="仿宋" w:eastAsia="仿宋" w:cs="Arial Unicode MS"/>
          <w:kern w:val="0"/>
          <w:sz w:val="24"/>
          <w:szCs w:val="24"/>
        </w:rPr>
      </w:pPr>
    </w:p>
    <w:p>
      <w:pPr>
        <w:widowControl/>
        <w:numPr>
          <w:ilvl w:val="0"/>
          <w:numId w:val="2"/>
        </w:numPr>
        <w:spacing w:line="360" w:lineRule="exact"/>
        <w:ind w:left="0" w:leftChars="0" w:firstLine="0" w:firstLineChars="0"/>
        <w:jc w:val="left"/>
        <w:rPr>
          <w:rFonts w:hint="eastAsia" w:ascii="仿宋" w:hAnsi="仿宋" w:eastAsia="仿宋" w:cs="Arial Unicode MS"/>
          <w:kern w:val="0"/>
          <w:sz w:val="24"/>
          <w:szCs w:val="24"/>
          <w:lang w:val="en-US" w:eastAsia="zh-CN"/>
        </w:rPr>
      </w:pPr>
      <w:r>
        <w:rPr>
          <w:rFonts w:hint="eastAsia" w:ascii="仿宋" w:hAnsi="仿宋" w:eastAsia="仿宋" w:cs="Arial Unicode MS"/>
          <w:b/>
          <w:bCs/>
          <w:kern w:val="0"/>
          <w:sz w:val="24"/>
          <w:szCs w:val="24"/>
          <w:lang w:val="en-US" w:eastAsia="zh-CN"/>
        </w:rPr>
        <w:t>服务地点：</w:t>
      </w:r>
      <w:r>
        <w:rPr>
          <w:rFonts w:hint="eastAsia" w:ascii="仿宋" w:hAnsi="仿宋" w:eastAsia="仿宋" w:cs="Arial Unicode MS"/>
          <w:kern w:val="0"/>
          <w:sz w:val="24"/>
          <w:szCs w:val="24"/>
          <w:lang w:val="en-US" w:eastAsia="zh-CN"/>
        </w:rPr>
        <w:t>汕尾市城区东涌镇站前横二路1号</w:t>
      </w:r>
    </w:p>
    <w:p>
      <w:pPr>
        <w:widowControl/>
        <w:numPr>
          <w:ilvl w:val="0"/>
          <w:numId w:val="0"/>
        </w:numPr>
        <w:spacing w:line="360" w:lineRule="exact"/>
        <w:ind w:leftChars="0"/>
        <w:jc w:val="left"/>
        <w:rPr>
          <w:rFonts w:hint="eastAsia" w:ascii="仿宋" w:hAnsi="仿宋" w:eastAsia="仿宋" w:cs="Arial Unicode MS"/>
          <w:b/>
          <w:bCs/>
          <w:kern w:val="0"/>
          <w:sz w:val="24"/>
          <w:szCs w:val="24"/>
          <w:lang w:val="en-US" w:eastAsia="zh-CN"/>
        </w:rPr>
      </w:pPr>
    </w:p>
    <w:p>
      <w:pPr>
        <w:widowControl/>
        <w:numPr>
          <w:ilvl w:val="0"/>
          <w:numId w:val="0"/>
        </w:numPr>
        <w:spacing w:line="360" w:lineRule="exact"/>
        <w:ind w:leftChars="0"/>
        <w:jc w:val="left"/>
        <w:rPr>
          <w:rFonts w:hint="eastAsia" w:ascii="仿宋" w:hAnsi="仿宋" w:eastAsia="仿宋" w:cs="Arial Unicode MS"/>
          <w:kern w:val="0"/>
          <w:sz w:val="24"/>
          <w:szCs w:val="24"/>
        </w:rPr>
      </w:pPr>
      <w:r>
        <w:rPr>
          <w:rFonts w:hint="eastAsia" w:ascii="仿宋" w:hAnsi="仿宋" w:eastAsia="仿宋" w:cs="Arial Unicode MS"/>
          <w:b/>
          <w:bCs/>
          <w:kern w:val="0"/>
          <w:sz w:val="24"/>
          <w:szCs w:val="24"/>
          <w:lang w:val="en-US" w:eastAsia="zh-CN"/>
        </w:rPr>
        <w:t>四、</w:t>
      </w:r>
      <w:r>
        <w:rPr>
          <w:rFonts w:hint="eastAsia" w:ascii="仿宋" w:hAnsi="仿宋" w:eastAsia="仿宋" w:cs="Arial Unicode MS"/>
          <w:b/>
          <w:bCs/>
          <w:kern w:val="0"/>
          <w:sz w:val="24"/>
          <w:szCs w:val="24"/>
        </w:rPr>
        <w:t>用户需求：</w:t>
      </w:r>
      <w:r>
        <w:rPr>
          <w:rFonts w:hint="eastAsia" w:ascii="仿宋" w:hAnsi="仿宋" w:eastAsia="仿宋" w:cs="Arial Unicode MS"/>
          <w:kern w:val="0"/>
          <w:sz w:val="24"/>
          <w:szCs w:val="24"/>
        </w:rPr>
        <w:tab/>
      </w:r>
    </w:p>
    <w:p>
      <w:pPr>
        <w:widowControl/>
        <w:spacing w:line="360" w:lineRule="exact"/>
        <w:ind w:firstLine="480" w:firstLineChars="200"/>
        <w:jc w:val="left"/>
        <w:rPr>
          <w:rFonts w:hint="eastAsia" w:ascii="仿宋" w:hAnsi="仿宋" w:eastAsia="仿宋" w:cs="Arial Unicode MS"/>
          <w:kern w:val="0"/>
          <w:sz w:val="24"/>
          <w:szCs w:val="24"/>
        </w:rPr>
      </w:pPr>
      <w:r>
        <w:rPr>
          <w:rFonts w:hint="eastAsia" w:ascii="仿宋" w:hAnsi="仿宋" w:eastAsia="仿宋" w:cs="Arial Unicode MS"/>
          <w:kern w:val="0"/>
          <w:sz w:val="24"/>
          <w:szCs w:val="24"/>
        </w:rPr>
        <w:t>制定停车场管理规定，完善停车场的安全措施，保障车辆停放安全，交通畅顺，出入有序，确保车场设施设备运转正常，打造汕尾市首个智能化医院停车场。</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rPr>
        <w:t>（一）停车场外包管理服务按照一定数量车位承包经营形式。总车位承包数按照实际运营车位数量为准，详见附件</w:t>
      </w:r>
      <w:r>
        <w:rPr>
          <w:rFonts w:hint="eastAsia" w:ascii="仿宋" w:hAnsi="仿宋" w:eastAsia="仿宋" w:cs="Arial Unicode MS"/>
          <w:kern w:val="0"/>
          <w:sz w:val="24"/>
          <w:szCs w:val="24"/>
          <w:lang w:val="en-US" w:eastAsia="zh-CN"/>
        </w:rPr>
        <w:t>1</w:t>
      </w:r>
      <w:r>
        <w:rPr>
          <w:rFonts w:hint="eastAsia" w:ascii="仿宋" w:hAnsi="仿宋" w:eastAsia="仿宋" w:cs="Arial Unicode MS"/>
          <w:kern w:val="0"/>
          <w:sz w:val="24"/>
          <w:szCs w:val="24"/>
        </w:rPr>
        <w:t>。但外包管理服务应承担院区内所有停车位的日常管理工作。</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rPr>
        <w:t>（二）★停车场系统后续涉及维护升级，合作乙方应无条件配合甲方完成智能化车位引导系统建设及升级。包括后续运营过程中停车场能耗、维修配件、改造升级等，详见附表，由乙方投入资金完成建设。</w:t>
      </w:r>
    </w:p>
    <w:p>
      <w:pPr>
        <w:widowControl/>
        <w:spacing w:line="360" w:lineRule="exact"/>
        <w:jc w:val="left"/>
        <w:rPr>
          <w:rFonts w:hint="eastAsia" w:ascii="仿宋" w:hAnsi="仿宋" w:eastAsia="仿宋" w:cs="Arial Unicode MS"/>
          <w:kern w:val="0"/>
          <w:sz w:val="24"/>
          <w:szCs w:val="24"/>
          <w:highlight w:val="none"/>
        </w:rPr>
      </w:pPr>
      <w:r>
        <w:rPr>
          <w:rFonts w:hint="eastAsia" w:ascii="仿宋" w:hAnsi="仿宋" w:eastAsia="仿宋" w:cs="Arial Unicode MS"/>
          <w:kern w:val="0"/>
          <w:sz w:val="24"/>
          <w:szCs w:val="24"/>
        </w:rPr>
        <w:t>（三）停车</w:t>
      </w:r>
      <w:r>
        <w:rPr>
          <w:rFonts w:hint="eastAsia" w:ascii="仿宋" w:hAnsi="仿宋" w:eastAsia="仿宋" w:cs="Arial Unicode MS"/>
          <w:kern w:val="0"/>
          <w:sz w:val="24"/>
          <w:szCs w:val="24"/>
          <w:highlight w:val="none"/>
        </w:rPr>
        <w:t>场所有运营增值项目（如：小猫洗车、充电桩、车场广告，电动车充电等）上报院方审核，其他停车场运营项目另增补协议，上交一定比例管理费。</w:t>
      </w:r>
    </w:p>
    <w:p>
      <w:pPr>
        <w:widowControl/>
        <w:spacing w:line="360" w:lineRule="exact"/>
        <w:jc w:val="left"/>
        <w:rPr>
          <w:rFonts w:hint="eastAsia"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（四）停车场对外收费严格按照汕尾市发改局指导收费标准执行，所有对外收费异议及纠纷由乙方负责处理。</w:t>
      </w:r>
    </w:p>
    <w:p>
      <w:pPr>
        <w:widowControl/>
        <w:spacing w:line="360" w:lineRule="exact"/>
        <w:jc w:val="left"/>
        <w:rPr>
          <w:rFonts w:hint="eastAsia"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（五）按照甲方要求投放设备、人员等，改造升级停车场系统管理，所有费用由乙方支出。</w:t>
      </w:r>
    </w:p>
    <w:p>
      <w:pPr>
        <w:widowControl/>
        <w:spacing w:line="360" w:lineRule="exact"/>
        <w:jc w:val="left"/>
        <w:rPr>
          <w:rFonts w:hint="eastAsia"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（六）甲方公务车辆及市政主管部门来往车辆可报备免费通行，社会特种车辆免费通行例如警车、军车、消防车等等。</w:t>
      </w:r>
    </w:p>
    <w:p>
      <w:pPr>
        <w:widowControl/>
        <w:spacing w:line="360" w:lineRule="exact"/>
        <w:jc w:val="left"/>
        <w:rPr>
          <w:rFonts w:hint="eastAsia"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（七）★甲方职工、第三方公司职工月卡收费归甲方所有，不纳入停车场收益。甲方职工在每月工资发放上直接扣除，第三方职工凭相关凭证到甲方财务部门缴纳停车月费。</w:t>
      </w:r>
    </w:p>
    <w:p>
      <w:pPr>
        <w:widowControl/>
        <w:spacing w:line="360" w:lineRule="exact"/>
        <w:jc w:val="left"/>
        <w:rPr>
          <w:rFonts w:hint="eastAsia"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（八）★甲乙双方签订协议后10个工作日内，乙方向甲方缴纳5万保证金。待合同完结后，凭收据凭证无息返还。</w:t>
      </w:r>
    </w:p>
    <w:p>
      <w:pPr>
        <w:widowControl/>
        <w:spacing w:line="360" w:lineRule="exact"/>
        <w:jc w:val="left"/>
        <w:rPr>
          <w:rFonts w:hint="eastAsia" w:ascii="仿宋" w:hAnsi="仿宋" w:eastAsia="仿宋" w:cs="Arial Unicode MS"/>
          <w:kern w:val="0"/>
          <w:sz w:val="24"/>
          <w:szCs w:val="24"/>
          <w:highlight w:val="none"/>
        </w:rPr>
      </w:pPr>
      <w:r>
        <w:rPr>
          <w:rFonts w:hint="eastAsia" w:ascii="仿宋" w:hAnsi="仿宋" w:eastAsia="仿宋" w:cs="Arial Unicode MS"/>
          <w:kern w:val="0"/>
          <w:sz w:val="24"/>
          <w:szCs w:val="24"/>
          <w:highlight w:val="none"/>
        </w:rPr>
        <w:t>（九）★合同期内免收管理租金，合同期为1年。</w:t>
      </w:r>
    </w:p>
    <w:p>
      <w:pPr>
        <w:widowControl/>
        <w:spacing w:line="360" w:lineRule="exact"/>
        <w:jc w:val="left"/>
        <w:rPr>
          <w:rFonts w:hint="default" w:ascii="仿宋" w:hAnsi="仿宋" w:eastAsia="仿宋" w:cs="Arial Unicode MS"/>
          <w:kern w:val="0"/>
          <w:sz w:val="24"/>
          <w:szCs w:val="24"/>
          <w:highlight w:val="none"/>
          <w:lang w:val="en-US" w:eastAsia="zh-CN"/>
        </w:rPr>
      </w:pPr>
      <w:r>
        <w:rPr>
          <w:rFonts w:hint="eastAsia" w:ascii="仿宋" w:hAnsi="仿宋" w:eastAsia="仿宋" w:cs="Arial Unicode MS"/>
          <w:kern w:val="0"/>
          <w:sz w:val="24"/>
          <w:szCs w:val="24"/>
          <w:highlight w:val="none"/>
          <w:lang w:eastAsia="zh-CN"/>
        </w:rPr>
        <w:t>（</w:t>
      </w:r>
      <w:r>
        <w:rPr>
          <w:rFonts w:hint="eastAsia" w:ascii="仿宋" w:hAnsi="仿宋" w:eastAsia="仿宋" w:cs="Arial Unicode MS"/>
          <w:kern w:val="0"/>
          <w:sz w:val="24"/>
          <w:szCs w:val="24"/>
          <w:highlight w:val="none"/>
          <w:lang w:val="en-US" w:eastAsia="zh-CN"/>
        </w:rPr>
        <w:t>十）合同期满后，乙方在合同期间的所有投入设备、智能管理系统、</w:t>
      </w:r>
      <w:r>
        <w:rPr>
          <w:rFonts w:hint="eastAsia" w:ascii="仿宋" w:hAnsi="仿宋" w:eastAsia="仿宋" w:cs="Arial Unicode MS"/>
          <w:kern w:val="0"/>
          <w:sz w:val="24"/>
          <w:szCs w:val="24"/>
          <w:highlight w:val="none"/>
        </w:rPr>
        <w:t>运营增值项目</w:t>
      </w:r>
      <w:r>
        <w:rPr>
          <w:rFonts w:hint="eastAsia" w:ascii="仿宋" w:hAnsi="仿宋" w:eastAsia="仿宋" w:cs="Arial Unicode MS"/>
          <w:kern w:val="0"/>
          <w:sz w:val="24"/>
          <w:szCs w:val="24"/>
          <w:highlight w:val="none"/>
          <w:lang w:val="en-US" w:eastAsia="zh-CN"/>
        </w:rPr>
        <w:t>等，都归属甲方所有。</w:t>
      </w:r>
    </w:p>
    <w:p>
      <w:pPr>
        <w:widowControl/>
        <w:spacing w:line="360" w:lineRule="exact"/>
        <w:jc w:val="left"/>
        <w:rPr>
          <w:rFonts w:hint="default" w:ascii="仿宋" w:hAnsi="仿宋" w:eastAsia="仿宋" w:cs="Arial Unicode MS"/>
          <w:kern w:val="0"/>
          <w:sz w:val="24"/>
          <w:szCs w:val="24"/>
          <w:highlight w:val="none"/>
          <w:lang w:val="en-US" w:eastAsia="zh-CN"/>
        </w:rPr>
      </w:pPr>
      <w:r>
        <w:rPr>
          <w:rFonts w:hint="eastAsia" w:ascii="仿宋" w:hAnsi="仿宋" w:eastAsia="仿宋" w:cs="Arial Unicode MS"/>
          <w:kern w:val="0"/>
          <w:sz w:val="24"/>
          <w:szCs w:val="24"/>
          <w:highlight w:val="none"/>
          <w:lang w:eastAsia="zh-CN"/>
        </w:rPr>
        <w:t>（</w:t>
      </w:r>
      <w:r>
        <w:rPr>
          <w:rFonts w:hint="eastAsia" w:ascii="仿宋" w:hAnsi="仿宋" w:eastAsia="仿宋" w:cs="Arial Unicode MS"/>
          <w:kern w:val="0"/>
          <w:sz w:val="24"/>
          <w:szCs w:val="24"/>
          <w:highlight w:val="none"/>
          <w:lang w:val="en-US" w:eastAsia="zh-CN"/>
        </w:rPr>
        <w:t>用户需求书中带★条项为必要条款，无法响应的视为无效投标。）</w:t>
      </w:r>
    </w:p>
    <w:p>
      <w:pPr>
        <w:widowControl/>
        <w:spacing w:line="360" w:lineRule="exact"/>
        <w:jc w:val="left"/>
        <w:rPr>
          <w:rFonts w:hint="eastAsia" w:ascii="仿宋" w:hAnsi="仿宋" w:eastAsia="仿宋" w:cs="Arial Unicode MS"/>
          <w:kern w:val="0"/>
          <w:sz w:val="24"/>
          <w:szCs w:val="24"/>
          <w:highlight w:val="none"/>
        </w:rPr>
      </w:pPr>
    </w:p>
    <w:p>
      <w:pPr>
        <w:widowControl/>
        <w:spacing w:line="360" w:lineRule="exact"/>
        <w:jc w:val="left"/>
        <w:rPr>
          <w:rFonts w:hint="eastAsia" w:ascii="仿宋" w:hAnsi="仿宋" w:eastAsia="仿宋" w:cs="Arial Unicode MS"/>
          <w:kern w:val="0"/>
          <w:sz w:val="24"/>
          <w:szCs w:val="24"/>
          <w:highlight w:val="none"/>
        </w:rPr>
      </w:pPr>
    </w:p>
    <w:p>
      <w:pPr>
        <w:widowControl/>
        <w:spacing w:line="360" w:lineRule="exact"/>
        <w:jc w:val="left"/>
        <w:rPr>
          <w:rFonts w:hint="eastAsia" w:ascii="仿宋" w:hAnsi="仿宋" w:eastAsia="仿宋" w:cs="Arial Unicode MS"/>
          <w:kern w:val="0"/>
          <w:sz w:val="24"/>
          <w:szCs w:val="24"/>
          <w:highlight w:val="none"/>
        </w:rPr>
      </w:pPr>
    </w:p>
    <w:p>
      <w:pPr>
        <w:widowControl/>
        <w:spacing w:line="360" w:lineRule="exact"/>
        <w:jc w:val="left"/>
        <w:rPr>
          <w:rFonts w:hint="eastAsia" w:ascii="仿宋" w:hAnsi="仿宋" w:eastAsia="仿宋" w:cs="Arial Unicode MS"/>
          <w:kern w:val="0"/>
          <w:sz w:val="24"/>
          <w:szCs w:val="24"/>
          <w:highlight w:val="none"/>
          <w:lang w:eastAsia="zh-CN"/>
        </w:rPr>
      </w:pPr>
      <w:r>
        <w:rPr>
          <w:rFonts w:hint="eastAsia" w:ascii="仿宋" w:hAnsi="仿宋" w:eastAsia="仿宋" w:cs="Arial Unicode MS"/>
          <w:b/>
          <w:bCs/>
          <w:kern w:val="0"/>
          <w:sz w:val="24"/>
          <w:szCs w:val="24"/>
          <w:highlight w:val="none"/>
          <w:lang w:val="en-US" w:eastAsia="zh-CN"/>
        </w:rPr>
        <w:t>五、</w:t>
      </w:r>
      <w:r>
        <w:rPr>
          <w:rFonts w:hint="eastAsia" w:ascii="仿宋" w:hAnsi="仿宋" w:eastAsia="仿宋" w:cs="Arial Unicode MS"/>
          <w:b/>
          <w:bCs/>
          <w:kern w:val="0"/>
          <w:sz w:val="24"/>
          <w:szCs w:val="24"/>
          <w:highlight w:val="none"/>
        </w:rPr>
        <w:t>资质要求</w:t>
      </w:r>
      <w:r>
        <w:rPr>
          <w:rFonts w:hint="eastAsia" w:ascii="仿宋" w:hAnsi="仿宋" w:eastAsia="仿宋" w:cs="Arial Unicode MS"/>
          <w:kern w:val="0"/>
          <w:sz w:val="24"/>
          <w:szCs w:val="24"/>
          <w:highlight w:val="none"/>
          <w:lang w:eastAsia="zh-CN"/>
        </w:rPr>
        <w:t>：</w:t>
      </w:r>
    </w:p>
    <w:p>
      <w:pPr>
        <w:widowControl/>
        <w:spacing w:line="360" w:lineRule="exact"/>
        <w:jc w:val="left"/>
        <w:rPr>
          <w:rFonts w:hint="eastAsia" w:ascii="仿宋" w:hAnsi="仿宋" w:eastAsia="仿宋" w:cs="Arial Unicode MS"/>
          <w:kern w:val="0"/>
          <w:sz w:val="24"/>
          <w:szCs w:val="24"/>
          <w:highlight w:val="none"/>
        </w:rPr>
      </w:pPr>
      <w:r>
        <w:rPr>
          <w:rFonts w:hint="eastAsia" w:ascii="仿宋" w:hAnsi="仿宋" w:eastAsia="仿宋" w:cs="Arial Unicode MS"/>
          <w:kern w:val="0"/>
          <w:sz w:val="24"/>
          <w:szCs w:val="24"/>
          <w:highlight w:val="none"/>
          <w:lang w:eastAsia="zh-CN"/>
        </w:rPr>
        <w:t>（</w:t>
      </w:r>
      <w:r>
        <w:rPr>
          <w:rFonts w:hint="eastAsia" w:ascii="仿宋" w:hAnsi="仿宋" w:eastAsia="仿宋" w:cs="Arial Unicode MS"/>
          <w:kern w:val="0"/>
          <w:sz w:val="24"/>
          <w:szCs w:val="24"/>
          <w:highlight w:val="none"/>
          <w:lang w:val="en-US" w:eastAsia="zh-CN"/>
        </w:rPr>
        <w:t>一）</w:t>
      </w:r>
      <w:r>
        <w:rPr>
          <w:rFonts w:hint="eastAsia" w:ascii="仿宋" w:hAnsi="仿宋" w:eastAsia="仿宋" w:cs="Arial Unicode MS"/>
          <w:kern w:val="0"/>
          <w:sz w:val="24"/>
          <w:szCs w:val="24"/>
          <w:highlight w:val="none"/>
        </w:rPr>
        <w:t>在中华人民共和国境内注册的具有独立承担民事责任能力的法人或其他组织（提供营业执照等证明文件）；</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highlight w:val="none"/>
          <w:lang w:eastAsia="zh-CN"/>
        </w:rPr>
        <w:t>（</w:t>
      </w:r>
      <w:r>
        <w:rPr>
          <w:rFonts w:hint="eastAsia" w:ascii="仿宋" w:hAnsi="仿宋" w:eastAsia="仿宋" w:cs="Arial Unicode MS"/>
          <w:kern w:val="0"/>
          <w:sz w:val="24"/>
          <w:szCs w:val="24"/>
          <w:highlight w:val="none"/>
          <w:lang w:val="en-US" w:eastAsia="zh-CN"/>
        </w:rPr>
        <w:t>二）</w:t>
      </w:r>
      <w:r>
        <w:rPr>
          <w:rFonts w:hint="eastAsia" w:ascii="仿宋" w:hAnsi="仿宋" w:eastAsia="仿宋" w:cs="Arial Unicode MS"/>
          <w:kern w:val="0"/>
          <w:sz w:val="24"/>
          <w:szCs w:val="24"/>
          <w:highlight w:val="none"/>
        </w:rPr>
        <w:t>20</w:t>
      </w:r>
      <w:r>
        <w:rPr>
          <w:rFonts w:hint="eastAsia" w:ascii="仿宋" w:hAnsi="仿宋" w:eastAsia="仿宋" w:cs="Arial Unicode MS"/>
          <w:kern w:val="0"/>
          <w:sz w:val="24"/>
          <w:szCs w:val="24"/>
          <w:highlight w:val="none"/>
          <w:lang w:val="en-US" w:eastAsia="zh-CN"/>
        </w:rPr>
        <w:t>20</w:t>
      </w:r>
      <w:r>
        <w:rPr>
          <w:rFonts w:hint="eastAsia" w:ascii="仿宋" w:hAnsi="仿宋" w:eastAsia="仿宋" w:cs="Arial Unicode MS"/>
          <w:kern w:val="0"/>
          <w:sz w:val="24"/>
          <w:szCs w:val="24"/>
          <w:highlight w:val="none"/>
        </w:rPr>
        <w:t>年至202</w:t>
      </w:r>
      <w:r>
        <w:rPr>
          <w:rFonts w:hint="eastAsia" w:ascii="仿宋" w:hAnsi="仿宋" w:eastAsia="仿宋" w:cs="Arial Unicode MS"/>
          <w:kern w:val="0"/>
          <w:sz w:val="24"/>
          <w:szCs w:val="24"/>
          <w:highlight w:val="none"/>
          <w:lang w:val="en-US" w:eastAsia="zh-CN"/>
        </w:rPr>
        <w:t>2</w:t>
      </w:r>
      <w:r>
        <w:rPr>
          <w:rFonts w:hint="eastAsia" w:ascii="仿宋" w:hAnsi="仿宋" w:eastAsia="仿宋" w:cs="Arial Unicode MS"/>
          <w:kern w:val="0"/>
          <w:sz w:val="24"/>
          <w:szCs w:val="24"/>
          <w:highlight w:val="none"/>
        </w:rPr>
        <w:t>年度内任意一年的财务审计报告或财务报表(新成立公司提供成立至今的月或季度财务报表</w:t>
      </w:r>
      <w:r>
        <w:rPr>
          <w:rFonts w:hint="eastAsia" w:ascii="仿宋" w:hAnsi="仿宋" w:eastAsia="仿宋" w:cs="Arial Unicode MS"/>
          <w:kern w:val="0"/>
          <w:sz w:val="24"/>
          <w:szCs w:val="24"/>
        </w:rPr>
        <w:t>复印件)或银行出具的资信证明；</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lang w:eastAsia="zh-CN"/>
        </w:rPr>
        <w:t>（</w:t>
      </w:r>
      <w:r>
        <w:rPr>
          <w:rFonts w:hint="eastAsia" w:ascii="仿宋" w:hAnsi="仿宋" w:eastAsia="仿宋" w:cs="Arial Unicode MS"/>
          <w:kern w:val="0"/>
          <w:sz w:val="24"/>
          <w:szCs w:val="24"/>
          <w:lang w:val="en-US" w:eastAsia="zh-CN"/>
        </w:rPr>
        <w:t>三）</w:t>
      </w:r>
      <w:r>
        <w:rPr>
          <w:rFonts w:hint="eastAsia" w:ascii="仿宋" w:hAnsi="仿宋" w:eastAsia="仿宋" w:cs="Arial Unicode MS"/>
          <w:kern w:val="0"/>
          <w:sz w:val="24"/>
          <w:szCs w:val="24"/>
        </w:rPr>
        <w:t>投标截止时间前一年内任意一个月的依法缴纳税收证明材料（如依法免税，则须提供相应文件证明其依法免税）；</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lang w:eastAsia="zh-CN"/>
        </w:rPr>
        <w:t>（</w:t>
      </w:r>
      <w:r>
        <w:rPr>
          <w:rFonts w:hint="eastAsia" w:ascii="仿宋" w:hAnsi="仿宋" w:eastAsia="仿宋" w:cs="Arial Unicode MS"/>
          <w:kern w:val="0"/>
          <w:sz w:val="24"/>
          <w:szCs w:val="24"/>
          <w:lang w:val="en-US" w:eastAsia="zh-CN"/>
        </w:rPr>
        <w:t>四）</w:t>
      </w:r>
      <w:r>
        <w:rPr>
          <w:rFonts w:hint="eastAsia" w:ascii="仿宋" w:hAnsi="仿宋" w:eastAsia="仿宋" w:cs="Arial Unicode MS"/>
          <w:kern w:val="0"/>
          <w:sz w:val="24"/>
          <w:szCs w:val="24"/>
        </w:rPr>
        <w:t>投标截止时间前一年内任意一个月的依法缴纳社会保险凭据（如依法不需要缴纳社保，则须提供相应文件证明其依法不需要缴纳）。</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lang w:eastAsia="zh-CN"/>
        </w:rPr>
        <w:t>（</w:t>
      </w:r>
      <w:r>
        <w:rPr>
          <w:rFonts w:hint="eastAsia" w:ascii="仿宋" w:hAnsi="仿宋" w:eastAsia="仿宋" w:cs="Arial Unicode MS"/>
          <w:kern w:val="0"/>
          <w:sz w:val="24"/>
          <w:szCs w:val="24"/>
          <w:lang w:val="en-US" w:eastAsia="zh-CN"/>
        </w:rPr>
        <w:t>五）</w:t>
      </w:r>
      <w:r>
        <w:rPr>
          <w:rFonts w:hint="eastAsia" w:ascii="仿宋" w:hAnsi="仿宋" w:eastAsia="仿宋" w:cs="Arial Unicode MS"/>
          <w:kern w:val="0"/>
          <w:sz w:val="24"/>
          <w:szCs w:val="24"/>
        </w:rPr>
        <w:t>参加政府采购活动前3年内在经营活动中没有重大违法记录的书面声明。</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lang w:eastAsia="zh-CN"/>
        </w:rPr>
        <w:t>（</w:t>
      </w:r>
      <w:r>
        <w:rPr>
          <w:rFonts w:hint="eastAsia" w:ascii="仿宋" w:hAnsi="仿宋" w:eastAsia="仿宋" w:cs="Arial Unicode MS"/>
          <w:kern w:val="0"/>
          <w:sz w:val="24"/>
          <w:szCs w:val="24"/>
          <w:lang w:val="en-US" w:eastAsia="zh-CN"/>
        </w:rPr>
        <w:t>六）</w:t>
      </w:r>
      <w:r>
        <w:rPr>
          <w:rFonts w:hint="eastAsia" w:ascii="仿宋" w:hAnsi="仿宋" w:eastAsia="仿宋" w:cs="Arial Unicode MS"/>
          <w:kern w:val="0"/>
          <w:sz w:val="24"/>
          <w:szCs w:val="24"/>
        </w:rPr>
        <w:t>投标人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lang w:eastAsia="zh-CN"/>
        </w:rPr>
        <w:t>（</w:t>
      </w:r>
      <w:r>
        <w:rPr>
          <w:rFonts w:hint="eastAsia" w:ascii="仿宋" w:hAnsi="仿宋" w:eastAsia="仿宋" w:cs="Arial Unicode MS"/>
          <w:kern w:val="0"/>
          <w:sz w:val="24"/>
          <w:szCs w:val="24"/>
          <w:lang w:val="en-US" w:eastAsia="zh-CN"/>
        </w:rPr>
        <w:t>七）</w:t>
      </w:r>
      <w:r>
        <w:rPr>
          <w:rFonts w:hint="eastAsia" w:ascii="仿宋" w:hAnsi="仿宋" w:eastAsia="仿宋" w:cs="Arial Unicode MS"/>
          <w:kern w:val="0"/>
          <w:sz w:val="24"/>
          <w:szCs w:val="24"/>
        </w:rPr>
        <w:t>单位负责人为同一人或者存在直接控股、管理关系的不同供应商，不得参加同一合同项下的政府采购活动(投标人出具有效的声明函加盖公章)。</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lang w:eastAsia="zh-CN"/>
        </w:rPr>
        <w:t>（</w:t>
      </w:r>
      <w:r>
        <w:rPr>
          <w:rFonts w:hint="eastAsia" w:ascii="仿宋" w:hAnsi="仿宋" w:eastAsia="仿宋" w:cs="Arial Unicode MS"/>
          <w:kern w:val="0"/>
          <w:sz w:val="24"/>
          <w:szCs w:val="24"/>
          <w:lang w:val="en-US" w:eastAsia="zh-CN"/>
        </w:rPr>
        <w:t>八）</w:t>
      </w:r>
      <w:r>
        <w:rPr>
          <w:rFonts w:hint="eastAsia" w:ascii="仿宋" w:hAnsi="仿宋" w:eastAsia="仿宋" w:cs="Arial Unicode MS"/>
          <w:kern w:val="0"/>
          <w:sz w:val="24"/>
          <w:szCs w:val="24"/>
        </w:rPr>
        <w:t>本项目不接受联合投标体投标。</w:t>
      </w:r>
    </w:p>
    <w:p>
      <w:pPr>
        <w:widowControl/>
        <w:spacing w:line="360" w:lineRule="exact"/>
        <w:jc w:val="left"/>
        <w:rPr>
          <w:rFonts w:hint="eastAsia" w:ascii="仿宋" w:hAnsi="仿宋" w:eastAsia="仿宋" w:cs="Arial Unicode MS"/>
          <w:kern w:val="0"/>
          <w:sz w:val="24"/>
          <w:szCs w:val="24"/>
        </w:rPr>
      </w:pPr>
    </w:p>
    <w:p>
      <w:pPr>
        <w:widowControl/>
        <w:spacing w:line="360" w:lineRule="exact"/>
        <w:jc w:val="left"/>
        <w:rPr>
          <w:rFonts w:hint="eastAsia" w:ascii="仿宋" w:hAnsi="仿宋" w:eastAsia="仿宋" w:cs="仿宋"/>
          <w:b/>
          <w:bCs/>
          <w:kern w:val="0"/>
          <w:sz w:val="24"/>
          <w:szCs w:val="24"/>
          <w:highlight w:val="none"/>
          <w:lang w:val="en-US"/>
        </w:rPr>
      </w:pPr>
      <w:r>
        <w:rPr>
          <w:rFonts w:hint="eastAsia" w:ascii="仿宋" w:hAnsi="仿宋" w:eastAsia="仿宋" w:cs="仿宋"/>
          <w:b/>
          <w:bCs/>
          <w:kern w:val="0"/>
          <w:sz w:val="24"/>
          <w:szCs w:val="24"/>
          <w:highlight w:val="none"/>
          <w:lang w:val="en-US" w:eastAsia="zh-CN"/>
        </w:rPr>
        <w:t>六、</w:t>
      </w:r>
      <w:r>
        <w:rPr>
          <w:rFonts w:hint="eastAsia" w:ascii="仿宋" w:hAnsi="仿宋" w:eastAsia="仿宋" w:cs="仿宋"/>
          <w:b/>
          <w:bCs/>
          <w:kern w:val="0"/>
          <w:sz w:val="24"/>
          <w:szCs w:val="24"/>
          <w:highlight w:val="none"/>
        </w:rPr>
        <w:t>评</w:t>
      </w:r>
      <w:r>
        <w:rPr>
          <w:rFonts w:hint="eastAsia" w:ascii="仿宋" w:hAnsi="仿宋" w:eastAsia="仿宋" w:cs="仿宋"/>
          <w:b/>
          <w:bCs/>
          <w:kern w:val="0"/>
          <w:sz w:val="24"/>
          <w:szCs w:val="24"/>
          <w:highlight w:val="none"/>
          <w:lang w:val="en-US" w:eastAsia="zh-CN"/>
        </w:rPr>
        <w:t>标细则（总分100分，最终评分最高者为中标方。）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5945"/>
        <w:gridCol w:w="502"/>
        <w:gridCol w:w="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评审项目</w:t>
            </w:r>
          </w:p>
        </w:tc>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评分标准</w:t>
            </w:r>
          </w:p>
        </w:tc>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分值</w:t>
            </w:r>
          </w:p>
        </w:tc>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ind w:left="17" w:hanging="19" w:hangingChars="8"/>
              <w:jc w:val="left"/>
              <w:rPr>
                <w:rFonts w:hint="eastAsia" w:ascii="仿宋" w:hAnsi="仿宋" w:eastAsia="仿宋" w:cs="仿宋"/>
                <w:sz w:val="24"/>
                <w:szCs w:val="24"/>
              </w:rPr>
            </w:pPr>
            <w:r>
              <w:rPr>
                <w:rFonts w:hint="eastAsia" w:ascii="仿宋" w:hAnsi="仿宋" w:eastAsia="仿宋" w:cs="仿宋"/>
                <w:sz w:val="24"/>
                <w:szCs w:val="24"/>
              </w:rPr>
              <w:t>投标人资格情况及通过相关认证情况</w:t>
            </w:r>
          </w:p>
        </w:tc>
        <w:tc>
          <w:tcPr>
            <w:tcW w:w="0" w:type="auto"/>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（一）评分内容：</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1.投标人同时具有质量管理体系认证、职业健康安全管理体系认证、环境管理体系认证、信息安全管理体系认证（要求认证范围均需包括物业管理服务）得 4 分（缺少任何一项不得分）；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为响应疫情防控，停车场日常管理需要加强保洁和消毒，并需自行负责垃圾清运工作。故</w:t>
            </w:r>
            <w:r>
              <w:rPr>
                <w:rFonts w:hint="eastAsia" w:ascii="仿宋" w:hAnsi="仿宋" w:eastAsia="仿宋" w:cs="仿宋"/>
                <w:sz w:val="24"/>
                <w:szCs w:val="24"/>
                <w:highlight w:val="none"/>
              </w:rPr>
              <w:t>投标人同时具有行政主管部门或第三方权威机构颁发与本项目相关的消毒清洁养护服务类内容资质及垃圾清</w:t>
            </w:r>
            <w:r>
              <w:rPr>
                <w:rFonts w:hint="eastAsia" w:ascii="仿宋" w:hAnsi="仿宋" w:eastAsia="仿宋" w:cs="仿宋"/>
                <w:sz w:val="24"/>
                <w:szCs w:val="24"/>
              </w:rPr>
              <w:t>运运输服务类内容资质证书，得3分。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 投标人具有地级市或以上公安部门颁发的保安从业单位备案书或保安服务许可证的，得3分。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（二）评分依据：</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 提供有效的证书作为得分依据。</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 提供有效认证证书和全国认证认可信息公共服务平台的查询结果打印或截图。</w:t>
            </w:r>
          </w:p>
          <w:p>
            <w:pPr>
              <w:widowControl/>
              <w:adjustRightInd w:val="0"/>
              <w:snapToGrid w:val="0"/>
              <w:spacing w:line="360" w:lineRule="exact"/>
              <w:ind w:left="17" w:hanging="19" w:hangingChars="8"/>
              <w:jc w:val="left"/>
              <w:rPr>
                <w:rFonts w:hint="eastAsia" w:ascii="仿宋" w:hAnsi="仿宋" w:eastAsia="仿宋" w:cs="仿宋"/>
                <w:sz w:val="24"/>
                <w:szCs w:val="24"/>
              </w:rPr>
            </w:pPr>
            <w:r>
              <w:rPr>
                <w:rFonts w:hint="eastAsia" w:ascii="仿宋" w:hAnsi="仿宋" w:eastAsia="仿宋" w:cs="仿宋"/>
                <w:sz w:val="24"/>
                <w:szCs w:val="24"/>
              </w:rPr>
              <w:t>3.以上资料均要求提供扫描件（或官方网站截图），原件备查。评分中出现无证明资料或专家无法凭所提供资料判断是否得分的情况，一律作不得分处理。</w:t>
            </w:r>
          </w:p>
        </w:tc>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0" w:type="auto"/>
          </w:tcPr>
          <w:p>
            <w:pPr>
              <w:widowControl/>
              <w:spacing w:line="360" w:lineRule="exact"/>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ind w:left="17" w:hanging="19" w:hangingChars="8"/>
              <w:jc w:val="center"/>
              <w:rPr>
                <w:rFonts w:hint="eastAsia" w:ascii="仿宋" w:hAnsi="仿宋" w:eastAsia="仿宋" w:cs="仿宋"/>
                <w:sz w:val="24"/>
                <w:szCs w:val="24"/>
              </w:rPr>
            </w:pPr>
            <w:r>
              <w:rPr>
                <w:rFonts w:hint="eastAsia" w:ascii="仿宋" w:hAnsi="仿宋" w:eastAsia="仿宋" w:cs="仿宋"/>
                <w:sz w:val="24"/>
                <w:szCs w:val="24"/>
              </w:rPr>
              <w:t>投标人针对本项目的管理制度、质量保证体系及措施</w:t>
            </w:r>
          </w:p>
        </w:tc>
        <w:tc>
          <w:tcPr>
            <w:tcW w:w="0" w:type="auto"/>
            <w:vAlign w:val="center"/>
          </w:tcPr>
          <w:p>
            <w:pPr>
              <w:adjustRightInd w:val="0"/>
              <w:snapToGrid w:val="0"/>
              <w:ind w:left="17" w:hanging="19" w:hangingChars="8"/>
              <w:rPr>
                <w:rFonts w:hint="eastAsia" w:ascii="仿宋" w:hAnsi="仿宋" w:eastAsia="仿宋" w:cs="仿宋"/>
                <w:sz w:val="24"/>
                <w:szCs w:val="24"/>
              </w:rPr>
            </w:pPr>
            <w:r>
              <w:rPr>
                <w:rFonts w:hint="eastAsia" w:ascii="仿宋" w:hAnsi="仿宋" w:eastAsia="仿宋" w:cs="仿宋"/>
                <w:sz w:val="24"/>
                <w:szCs w:val="24"/>
              </w:rPr>
              <w:t>有完善的管理制度、质量保证体系，且有完整的质量巡检记录者，得5分；</w:t>
            </w:r>
          </w:p>
          <w:p>
            <w:pPr>
              <w:adjustRightInd w:val="0"/>
              <w:snapToGrid w:val="0"/>
              <w:ind w:left="17" w:hanging="19" w:hangingChars="8"/>
              <w:rPr>
                <w:rFonts w:hint="eastAsia" w:ascii="仿宋" w:hAnsi="仿宋" w:eastAsia="仿宋" w:cs="仿宋"/>
                <w:sz w:val="24"/>
                <w:szCs w:val="24"/>
              </w:rPr>
            </w:pPr>
            <w:r>
              <w:rPr>
                <w:rFonts w:hint="eastAsia" w:ascii="仿宋" w:hAnsi="仿宋" w:eastAsia="仿宋" w:cs="仿宋"/>
                <w:sz w:val="24"/>
                <w:szCs w:val="24"/>
              </w:rPr>
              <w:t>有管理制度、质量保证体系，有质量巡检记录者，但完整性及可行性对比存在改善空间或差距的，得2分；</w:t>
            </w:r>
          </w:p>
          <w:p>
            <w:pPr>
              <w:adjustRightInd w:val="0"/>
              <w:snapToGrid w:val="0"/>
              <w:ind w:left="17" w:hanging="19" w:hangingChars="8"/>
              <w:rPr>
                <w:rFonts w:hint="eastAsia" w:ascii="仿宋" w:hAnsi="仿宋" w:eastAsia="仿宋" w:cs="仿宋"/>
                <w:sz w:val="24"/>
                <w:szCs w:val="24"/>
              </w:rPr>
            </w:pPr>
            <w:r>
              <w:rPr>
                <w:rFonts w:hint="eastAsia" w:ascii="仿宋" w:hAnsi="仿宋" w:eastAsia="仿宋" w:cs="仿宋"/>
                <w:sz w:val="24"/>
                <w:szCs w:val="24"/>
              </w:rPr>
              <w:t>投标文件中无体现者，得0分。</w:t>
            </w:r>
          </w:p>
        </w:tc>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0" w:type="auto"/>
          </w:tcPr>
          <w:p>
            <w:pPr>
              <w:widowControl/>
              <w:spacing w:line="360" w:lineRule="exact"/>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ind w:left="17" w:hanging="19" w:hangingChars="8"/>
              <w:jc w:val="center"/>
              <w:rPr>
                <w:rFonts w:hint="eastAsia" w:ascii="仿宋" w:hAnsi="仿宋" w:eastAsia="仿宋" w:cs="仿宋"/>
                <w:sz w:val="24"/>
                <w:szCs w:val="24"/>
              </w:rPr>
            </w:pPr>
            <w:r>
              <w:rPr>
                <w:rFonts w:hint="eastAsia" w:ascii="仿宋" w:hAnsi="仿宋" w:eastAsia="仿宋" w:cs="仿宋"/>
                <w:sz w:val="24"/>
                <w:szCs w:val="24"/>
              </w:rPr>
              <w:t>应急支持及应急服务方案</w:t>
            </w:r>
          </w:p>
        </w:tc>
        <w:tc>
          <w:tcPr>
            <w:tcW w:w="0" w:type="auto"/>
            <w:vAlign w:val="center"/>
          </w:tcPr>
          <w:p>
            <w:pPr>
              <w:adjustRightInd w:val="0"/>
              <w:snapToGrid w:val="0"/>
              <w:ind w:left="17" w:hanging="19" w:hangingChars="8"/>
              <w:jc w:val="left"/>
              <w:rPr>
                <w:rFonts w:hint="eastAsia" w:ascii="仿宋" w:hAnsi="仿宋" w:eastAsia="仿宋" w:cs="仿宋"/>
                <w:sz w:val="24"/>
                <w:szCs w:val="24"/>
              </w:rPr>
            </w:pPr>
            <w:r>
              <w:rPr>
                <w:rFonts w:hint="eastAsia" w:ascii="仿宋" w:hAnsi="仿宋" w:eastAsia="仿宋" w:cs="仿宋"/>
                <w:sz w:val="24"/>
                <w:szCs w:val="24"/>
              </w:rPr>
              <w:t>应急预案合理有效横向对比：应急支持及应急服务方案有效、合理，能针对采购人实际情况快速响应，对投标人对突发事件的应急响应(如自然灾害事件、公共卫生事件等，如新冠疫情的响应)，有可操作性的应急预案进行评审：</w:t>
            </w:r>
          </w:p>
          <w:p>
            <w:pPr>
              <w:adjustRightInd w:val="0"/>
              <w:snapToGrid w:val="0"/>
              <w:ind w:left="17" w:hanging="19" w:hangingChars="8"/>
              <w:jc w:val="left"/>
              <w:rPr>
                <w:rFonts w:hint="eastAsia" w:ascii="仿宋" w:hAnsi="仿宋" w:eastAsia="仿宋" w:cs="仿宋"/>
                <w:sz w:val="24"/>
                <w:szCs w:val="24"/>
              </w:rPr>
            </w:pPr>
            <w:r>
              <w:rPr>
                <w:rFonts w:hint="eastAsia" w:ascii="仿宋" w:hAnsi="仿宋" w:eastAsia="仿宋" w:cs="仿宋"/>
                <w:sz w:val="24"/>
                <w:szCs w:val="24"/>
              </w:rPr>
              <w:t>应急支持及应急服务方案(如自然灾害事件、公共卫生事件等，如新冠疫情的响应)有效、合理，能针对采购人实际情况快速响应，提出合理建议的为优得10分；</w:t>
            </w:r>
          </w:p>
          <w:p>
            <w:pPr>
              <w:adjustRightInd w:val="0"/>
              <w:snapToGrid w:val="0"/>
              <w:ind w:left="17" w:hanging="19" w:hangingChars="8"/>
              <w:jc w:val="left"/>
              <w:rPr>
                <w:rFonts w:hint="eastAsia" w:ascii="仿宋" w:hAnsi="仿宋" w:eastAsia="仿宋" w:cs="仿宋"/>
                <w:sz w:val="24"/>
                <w:szCs w:val="24"/>
              </w:rPr>
            </w:pPr>
            <w:r>
              <w:rPr>
                <w:rFonts w:hint="eastAsia" w:ascii="仿宋" w:hAnsi="仿宋" w:eastAsia="仿宋" w:cs="仿宋"/>
                <w:sz w:val="24"/>
                <w:szCs w:val="24"/>
              </w:rPr>
              <w:t>应急支持及应急服务方案较有效、较合理，但响应性及应急预案对比存在差距或改善空间的为良得5分；</w:t>
            </w:r>
          </w:p>
          <w:p>
            <w:pPr>
              <w:adjustRightInd w:val="0"/>
              <w:snapToGrid w:val="0"/>
              <w:ind w:left="17" w:hanging="19" w:hangingChars="8"/>
              <w:jc w:val="left"/>
              <w:rPr>
                <w:rFonts w:hint="eastAsia" w:ascii="仿宋" w:hAnsi="仿宋" w:eastAsia="仿宋" w:cs="仿宋"/>
                <w:sz w:val="24"/>
                <w:szCs w:val="24"/>
              </w:rPr>
            </w:pPr>
            <w:r>
              <w:rPr>
                <w:rFonts w:hint="eastAsia" w:ascii="仿宋" w:hAnsi="仿宋" w:eastAsia="仿宋" w:cs="仿宋"/>
                <w:sz w:val="24"/>
                <w:szCs w:val="24"/>
              </w:rPr>
              <w:t>应急支持及应急服务方案较差、欠合理，只能部分满足用户需求的为中得2分；</w:t>
            </w:r>
          </w:p>
          <w:p>
            <w:pPr>
              <w:widowControl/>
              <w:adjustRightInd w:val="0"/>
              <w:snapToGrid w:val="0"/>
              <w:ind w:left="17" w:hanging="19" w:hangingChars="8"/>
              <w:jc w:val="left"/>
              <w:rPr>
                <w:rFonts w:hint="eastAsia" w:ascii="仿宋" w:hAnsi="仿宋" w:eastAsia="仿宋" w:cs="仿宋"/>
                <w:sz w:val="24"/>
                <w:szCs w:val="24"/>
              </w:rPr>
            </w:pPr>
            <w:r>
              <w:rPr>
                <w:rFonts w:hint="eastAsia" w:ascii="仿宋" w:hAnsi="仿宋" w:eastAsia="仿宋" w:cs="仿宋"/>
                <w:sz w:val="24"/>
                <w:szCs w:val="24"/>
              </w:rPr>
              <w:t>应急支持及应急服务方案差、不合理，基本不能满足用户需求的为差得0分。</w:t>
            </w:r>
          </w:p>
        </w:tc>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0" w:type="auto"/>
          </w:tcPr>
          <w:p>
            <w:pPr>
              <w:widowControl/>
              <w:spacing w:line="360" w:lineRule="exact"/>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ind w:left="17" w:hanging="19" w:hangingChars="8"/>
              <w:jc w:val="left"/>
              <w:rPr>
                <w:rFonts w:hint="eastAsia" w:ascii="仿宋" w:hAnsi="仿宋" w:eastAsia="仿宋" w:cs="仿宋"/>
                <w:sz w:val="24"/>
                <w:szCs w:val="24"/>
              </w:rPr>
            </w:pPr>
            <w:r>
              <w:rPr>
                <w:rFonts w:hint="eastAsia" w:ascii="仿宋" w:hAnsi="仿宋" w:eastAsia="仿宋" w:cs="仿宋"/>
                <w:sz w:val="24"/>
                <w:szCs w:val="24"/>
              </w:rPr>
              <w:t>投标人项目业绩情况</w:t>
            </w:r>
          </w:p>
        </w:tc>
        <w:tc>
          <w:tcPr>
            <w:tcW w:w="0" w:type="auto"/>
            <w:vAlign w:val="center"/>
          </w:tcPr>
          <w:p>
            <w:pPr>
              <w:spacing w:line="3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（一）评分内容：</w:t>
            </w:r>
          </w:p>
          <w:p>
            <w:pPr>
              <w:spacing w:line="3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1、自2017年以来（以合同签订日期为准）承担的政府机关、事业单位、大型国企等综合物业服务</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 xml:space="preserve">业绩,每具有1个业绩得 5分，此项最多得25 分。 </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（二）评分依据：</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 要求提供自2017年以来（以合同签订日期为准）签订合同的关键信息作为得分依据。</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2.通过合同关键信息无法判断是否得分的，还须同时提供能证明得分的其它证明资料，如项目报告或合同甲方出具的证明文件等。</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3.以上资料均要求提供扫描件，原件备查。评分中出现无证明资料或专家无法凭所提供资料判断是否得分的情况，一律作不得分处理。</w:t>
            </w:r>
          </w:p>
        </w:tc>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0" w:type="auto"/>
          </w:tcPr>
          <w:p>
            <w:pPr>
              <w:widowControl/>
              <w:spacing w:line="360" w:lineRule="exact"/>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ind w:left="17" w:hanging="19" w:hangingChars="8"/>
              <w:jc w:val="left"/>
              <w:rPr>
                <w:rFonts w:hint="eastAsia" w:ascii="仿宋" w:hAnsi="仿宋" w:eastAsia="仿宋" w:cs="仿宋"/>
                <w:sz w:val="24"/>
                <w:szCs w:val="24"/>
              </w:rPr>
            </w:pPr>
            <w:r>
              <w:rPr>
                <w:rFonts w:hint="eastAsia" w:ascii="仿宋" w:hAnsi="仿宋" w:eastAsia="仿宋" w:cs="仿宋"/>
                <w:sz w:val="24"/>
                <w:szCs w:val="24"/>
              </w:rPr>
              <w:t>拟安排的项目负责人情况（仅限一人）</w:t>
            </w:r>
          </w:p>
        </w:tc>
        <w:tc>
          <w:tcPr>
            <w:tcW w:w="0" w:type="auto"/>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（一）评分内容：</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1.具有全日制本科或以上学历得2分；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2.具有国家住建部门颁发的全国物业管理企业经理上岗证得2分；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3.具有中级及以上专业技术职称得2分（仅限政府人社部门颁发的，仅协会或培训机构颁发的不得分）；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具有单体管理面积不少于15万平方米的政府机关、事业单位、大型国企等综合物业的相关物业管理项目负责人工作经验的，服务内容至少包含客户服务、安全管理、清洁管理、工程维护中的三项，服务内容涵盖即可，文字描述可以不完全一致）得4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（二）评分依据：</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 要求提供通过投标人购买的项目负责人最近三个月的社保证明及相关证明资料作为得分依据。保证明资料应当至少包含养老保险或医疗保险（补缴的社保不予计算)，证明资料可为社保收缴部门盖章证明资料、社保窗口打印资料或社保官网截图。</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2.以上资料均要求提供扫描件（或官方网站截图），原件备查。评分中出现无证明资料或专家无法凭所提供资料判断是否得分的情况，一律作不得分处理。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 拟安排的项目负责人工作经验，要求提供项目合同关键信息作为得分依据，通过合同关键信息无法判断是否得分的，还须同时提供合同甲方出具的证明文件。</w:t>
            </w:r>
          </w:p>
        </w:tc>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0" w:type="auto"/>
          </w:tcPr>
          <w:p>
            <w:pPr>
              <w:widowControl/>
              <w:spacing w:line="360" w:lineRule="exact"/>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PPT</w:t>
            </w:r>
          </w:p>
        </w:tc>
        <w:tc>
          <w:tcPr>
            <w:tcW w:w="0" w:type="auto"/>
          </w:tcPr>
          <w:p>
            <w:pPr>
              <w:pStyle w:val="19"/>
              <w:widowControl/>
              <w:numPr>
                <w:ilvl w:val="0"/>
                <w:numId w:val="3"/>
              </w:numPr>
              <w:spacing w:line="360" w:lineRule="exact"/>
              <w:ind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有PPT现场讲解项目预计实施情况得20分</w:t>
            </w:r>
          </w:p>
          <w:p>
            <w:pPr>
              <w:autoSpaceDE w:val="0"/>
              <w:autoSpaceDN w:val="0"/>
              <w:adjustRightInd w:val="0"/>
              <w:jc w:val="left"/>
              <w:rPr>
                <w:rFonts w:hint="eastAsia" w:ascii="仿宋" w:hAnsi="仿宋" w:eastAsia="仿宋" w:cs="仿宋"/>
                <w:sz w:val="24"/>
                <w:szCs w:val="24"/>
              </w:rPr>
            </w:pPr>
            <w:r>
              <w:rPr>
                <w:rFonts w:hint="eastAsia" w:ascii="仿宋" w:hAnsi="仿宋" w:eastAsia="仿宋" w:cs="仿宋"/>
                <w:kern w:val="0"/>
                <w:sz w:val="24"/>
                <w:szCs w:val="24"/>
              </w:rPr>
              <w:t>2、PPT现场讲解综合评价，</w:t>
            </w:r>
            <w:r>
              <w:rPr>
                <w:rFonts w:hint="eastAsia" w:ascii="仿宋" w:hAnsi="仿宋" w:eastAsia="仿宋" w:cs="仿宋"/>
                <w:sz w:val="24"/>
                <w:szCs w:val="24"/>
              </w:rPr>
              <w:t>方案合理可行，内容详细，具有科学性、专业性、针对性，依据充分，服务亮点多，</w:t>
            </w:r>
            <w:r>
              <w:rPr>
                <w:rFonts w:hint="eastAsia" w:ascii="仿宋" w:hAnsi="仿宋" w:eastAsia="仿宋" w:cs="仿宋"/>
                <w:color w:val="000000"/>
                <w:sz w:val="24"/>
                <w:szCs w:val="24"/>
              </w:rPr>
              <w:t>熟悉采购人对所需服务的管理要求及标准，评价为优得20分；</w:t>
            </w:r>
          </w:p>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方案合理较可行，具有专业性、针对性，依据较充分，较</w:t>
            </w:r>
            <w:r>
              <w:rPr>
                <w:rFonts w:hint="eastAsia" w:ascii="仿宋" w:hAnsi="仿宋" w:eastAsia="仿宋" w:cs="仿宋"/>
                <w:color w:val="000000"/>
                <w:sz w:val="24"/>
                <w:szCs w:val="24"/>
              </w:rPr>
              <w:t>熟悉采购人对所需服务的管理要求及标准，但对比存在差距或改善空间评价为良得10分；</w:t>
            </w:r>
          </w:p>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方案合理基本可行，具有针对性，基本了解</w:t>
            </w:r>
            <w:r>
              <w:rPr>
                <w:rFonts w:hint="eastAsia" w:ascii="仿宋" w:hAnsi="仿宋" w:eastAsia="仿宋" w:cs="仿宋"/>
                <w:color w:val="000000"/>
                <w:sz w:val="24"/>
                <w:szCs w:val="24"/>
              </w:rPr>
              <w:t>采购人对所需服务的管理要求及标准，存在较多不足，评价为中得5分；</w:t>
            </w:r>
          </w:p>
        </w:tc>
        <w:tc>
          <w:tcPr>
            <w:tcW w:w="0" w:type="auto"/>
          </w:tcPr>
          <w:p>
            <w:pPr>
              <w:widowControl/>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0" w:type="auto"/>
          </w:tcPr>
          <w:p>
            <w:pPr>
              <w:widowControl/>
              <w:spacing w:line="360" w:lineRule="exact"/>
              <w:jc w:val="left"/>
              <w:rPr>
                <w:rFonts w:hint="eastAsia" w:ascii="仿宋" w:hAnsi="仿宋" w:eastAsia="仿宋" w:cs="仿宋"/>
                <w:kern w:val="0"/>
                <w:sz w:val="24"/>
                <w:szCs w:val="24"/>
              </w:rPr>
            </w:pPr>
          </w:p>
        </w:tc>
      </w:tr>
    </w:tbl>
    <w:p>
      <w:pPr>
        <w:widowControl/>
        <w:spacing w:line="360" w:lineRule="exact"/>
        <w:jc w:val="left"/>
        <w:rPr>
          <w:rFonts w:hint="eastAsia" w:ascii="仿宋" w:hAnsi="仿宋" w:eastAsia="仿宋" w:cs="仿宋"/>
          <w:kern w:val="0"/>
          <w:sz w:val="24"/>
          <w:szCs w:val="24"/>
        </w:rPr>
      </w:pPr>
    </w:p>
    <w:p>
      <w:pPr>
        <w:widowControl/>
        <w:numPr>
          <w:ilvl w:val="0"/>
          <w:numId w:val="0"/>
        </w:numPr>
        <w:spacing w:line="360" w:lineRule="exact"/>
        <w:jc w:val="left"/>
        <w:rPr>
          <w:rFonts w:hint="eastAsia" w:ascii="仿宋" w:hAnsi="仿宋" w:eastAsia="仿宋" w:cs="Arial Unicode MS"/>
          <w:kern w:val="0"/>
          <w:sz w:val="24"/>
          <w:szCs w:val="24"/>
        </w:rPr>
      </w:pPr>
      <w:r>
        <w:rPr>
          <w:rFonts w:hint="eastAsia" w:ascii="仿宋" w:hAnsi="仿宋" w:eastAsia="仿宋" w:cs="Arial Unicode MS"/>
          <w:b/>
          <w:bCs/>
          <w:kern w:val="0"/>
          <w:sz w:val="24"/>
          <w:szCs w:val="24"/>
          <w:lang w:val="en-US" w:eastAsia="zh-CN"/>
        </w:rPr>
        <w:t>七、</w:t>
      </w:r>
      <w:r>
        <w:rPr>
          <w:rFonts w:hint="eastAsia" w:ascii="仿宋" w:hAnsi="仿宋" w:eastAsia="仿宋" w:cs="Arial Unicode MS"/>
          <w:b/>
          <w:bCs/>
          <w:kern w:val="0"/>
          <w:sz w:val="24"/>
          <w:szCs w:val="24"/>
        </w:rPr>
        <w:t>报名方式：</w:t>
      </w:r>
      <w:r>
        <w:rPr>
          <w:rFonts w:hint="eastAsia" w:ascii="仿宋" w:hAnsi="仿宋" w:eastAsia="仿宋" w:cs="Arial Unicode MS"/>
          <w:kern w:val="0"/>
          <w:sz w:val="24"/>
          <w:szCs w:val="24"/>
        </w:rPr>
        <w:tab/>
      </w:r>
    </w:p>
    <w:p>
      <w:pPr>
        <w:widowControl/>
        <w:numPr>
          <w:ilvl w:val="0"/>
          <w:numId w:val="0"/>
        </w:numPr>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lang w:val="en-US" w:eastAsia="zh-CN"/>
        </w:rPr>
        <w:t>(一）</w:t>
      </w:r>
      <w:r>
        <w:rPr>
          <w:rFonts w:hint="eastAsia" w:ascii="仿宋" w:hAnsi="仿宋" w:eastAsia="仿宋" w:cs="Arial Unicode MS"/>
          <w:kern w:val="0"/>
          <w:sz w:val="24"/>
          <w:szCs w:val="24"/>
        </w:rPr>
        <w:t>投标文件1正5副，在截止日期之前交到深汕</w:t>
      </w:r>
      <w:r>
        <w:rPr>
          <w:rFonts w:hint="eastAsia" w:ascii="仿宋" w:hAnsi="仿宋" w:eastAsia="仿宋" w:cs="Arial Unicode MS"/>
          <w:kern w:val="0"/>
          <w:sz w:val="24"/>
          <w:szCs w:val="24"/>
          <w:lang w:val="en-US" w:eastAsia="zh-CN"/>
        </w:rPr>
        <w:t>中心</w:t>
      </w:r>
      <w:r>
        <w:rPr>
          <w:rFonts w:hint="eastAsia" w:ascii="仿宋" w:hAnsi="仿宋" w:eastAsia="仿宋" w:cs="Arial Unicode MS"/>
          <w:kern w:val="0"/>
          <w:sz w:val="24"/>
          <w:szCs w:val="24"/>
        </w:rPr>
        <w:t>医院行政后勤楼一楼后勤科,不接收邮寄投标。</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lang w:eastAsia="zh-CN"/>
        </w:rPr>
        <w:t>（</w:t>
      </w:r>
      <w:r>
        <w:rPr>
          <w:rFonts w:hint="eastAsia" w:ascii="仿宋" w:hAnsi="仿宋" w:eastAsia="仿宋" w:cs="Arial Unicode MS"/>
          <w:kern w:val="0"/>
          <w:sz w:val="24"/>
          <w:szCs w:val="24"/>
          <w:lang w:val="en-US" w:eastAsia="zh-CN"/>
        </w:rPr>
        <w:t>二）</w:t>
      </w:r>
      <w:r>
        <w:rPr>
          <w:rFonts w:hint="eastAsia" w:ascii="仿宋" w:hAnsi="仿宋" w:eastAsia="仿宋" w:cs="Arial Unicode MS"/>
          <w:kern w:val="0"/>
          <w:sz w:val="24"/>
          <w:szCs w:val="24"/>
        </w:rPr>
        <w:t>联系人：郑老师，电话：0660-3863555</w:t>
      </w:r>
    </w:p>
    <w:p>
      <w:pPr>
        <w:widowControl/>
        <w:spacing w:line="360" w:lineRule="exact"/>
        <w:jc w:val="left"/>
        <w:rPr>
          <w:rFonts w:hint="eastAsia" w:ascii="仿宋" w:hAnsi="仿宋" w:eastAsia="仿宋" w:cs="Arial Unicode MS"/>
          <w:kern w:val="0"/>
          <w:sz w:val="24"/>
          <w:szCs w:val="24"/>
        </w:rPr>
      </w:pPr>
      <w:r>
        <w:rPr>
          <w:rFonts w:hint="eastAsia" w:ascii="仿宋" w:hAnsi="仿宋" w:eastAsia="仿宋" w:cs="Arial Unicode MS"/>
          <w:kern w:val="0"/>
          <w:sz w:val="24"/>
          <w:szCs w:val="24"/>
        </w:rPr>
        <w:t xml:space="preserve">截止日期：2022年 </w:t>
      </w:r>
      <w:r>
        <w:rPr>
          <w:rFonts w:hint="eastAsia" w:ascii="仿宋" w:hAnsi="仿宋" w:eastAsia="仿宋" w:cs="Arial Unicode MS"/>
          <w:kern w:val="0"/>
          <w:sz w:val="24"/>
          <w:szCs w:val="24"/>
          <w:lang w:val="en-US" w:eastAsia="zh-CN"/>
        </w:rPr>
        <w:t>8</w:t>
      </w:r>
      <w:r>
        <w:rPr>
          <w:rFonts w:hint="eastAsia" w:ascii="仿宋" w:hAnsi="仿宋" w:eastAsia="仿宋" w:cs="Arial Unicode MS"/>
          <w:kern w:val="0"/>
          <w:sz w:val="24"/>
          <w:szCs w:val="24"/>
        </w:rPr>
        <w:t xml:space="preserve">月 </w:t>
      </w:r>
      <w:r>
        <w:rPr>
          <w:rFonts w:hint="eastAsia" w:ascii="仿宋" w:hAnsi="仿宋" w:eastAsia="仿宋" w:cs="Arial Unicode MS"/>
          <w:kern w:val="0"/>
          <w:sz w:val="24"/>
          <w:szCs w:val="24"/>
          <w:lang w:val="en-US" w:eastAsia="zh-CN"/>
        </w:rPr>
        <w:t>10</w:t>
      </w:r>
      <w:r>
        <w:rPr>
          <w:rFonts w:hint="eastAsia" w:ascii="仿宋" w:hAnsi="仿宋" w:eastAsia="仿宋" w:cs="Arial Unicode MS"/>
          <w:kern w:val="0"/>
          <w:sz w:val="24"/>
          <w:szCs w:val="24"/>
        </w:rPr>
        <w:t>日上午8点至2022年</w:t>
      </w:r>
      <w:r>
        <w:rPr>
          <w:rFonts w:hint="eastAsia" w:ascii="仿宋" w:hAnsi="仿宋" w:eastAsia="仿宋" w:cs="Arial Unicode MS"/>
          <w:kern w:val="0"/>
          <w:sz w:val="24"/>
          <w:szCs w:val="24"/>
          <w:lang w:val="en-US" w:eastAsia="zh-CN"/>
        </w:rPr>
        <w:t>8</w:t>
      </w:r>
      <w:r>
        <w:rPr>
          <w:rFonts w:hint="eastAsia" w:ascii="仿宋" w:hAnsi="仿宋" w:eastAsia="仿宋" w:cs="Arial Unicode MS"/>
          <w:kern w:val="0"/>
          <w:sz w:val="24"/>
          <w:szCs w:val="24"/>
        </w:rPr>
        <w:t>月</w:t>
      </w:r>
      <w:r>
        <w:rPr>
          <w:rFonts w:hint="eastAsia" w:ascii="仿宋" w:hAnsi="仿宋" w:eastAsia="仿宋" w:cs="Arial Unicode MS"/>
          <w:kern w:val="0"/>
          <w:sz w:val="24"/>
          <w:szCs w:val="24"/>
          <w:lang w:val="en-US" w:eastAsia="zh-CN"/>
        </w:rPr>
        <w:t>16</w:t>
      </w:r>
      <w:r>
        <w:rPr>
          <w:rFonts w:hint="eastAsia" w:ascii="仿宋" w:hAnsi="仿宋" w:eastAsia="仿宋" w:cs="Arial Unicode MS"/>
          <w:kern w:val="0"/>
          <w:sz w:val="24"/>
          <w:szCs w:val="24"/>
        </w:rPr>
        <w:t>日下午5点</w:t>
      </w:r>
      <w:r>
        <w:rPr>
          <w:rFonts w:hint="eastAsia" w:ascii="仿宋" w:hAnsi="仿宋" w:eastAsia="仿宋" w:cs="Arial Unicode MS"/>
          <w:kern w:val="0"/>
          <w:sz w:val="24"/>
          <w:szCs w:val="24"/>
          <w:lang w:val="en-US" w:eastAsia="zh-CN"/>
        </w:rPr>
        <w:t>30</w:t>
      </w:r>
      <w:r>
        <w:rPr>
          <w:rFonts w:hint="eastAsia" w:ascii="仿宋" w:hAnsi="仿宋" w:eastAsia="仿宋" w:cs="Arial Unicode MS"/>
          <w:kern w:val="0"/>
          <w:sz w:val="24"/>
          <w:szCs w:val="24"/>
        </w:rPr>
        <w:t>整</w:t>
      </w:r>
    </w:p>
    <w:p>
      <w:pPr>
        <w:widowControl/>
        <w:spacing w:line="360" w:lineRule="exact"/>
        <w:jc w:val="left"/>
        <w:rPr>
          <w:rFonts w:hint="eastAsia" w:ascii="仿宋" w:hAnsi="仿宋" w:eastAsia="仿宋" w:cs="Arial Unicode MS"/>
          <w:kern w:val="0"/>
          <w:sz w:val="24"/>
          <w:szCs w:val="24"/>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bookmarkStart w:id="91" w:name="_GoBack"/>
      <w:bookmarkEnd w:id="91"/>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jc w:val="left"/>
        <w:rPr>
          <w:rFonts w:hint="eastAsia" w:ascii="宋体" w:hAnsi="宋体" w:cs="宋体"/>
          <w:b/>
          <w:bCs/>
          <w:color w:val="000000" w:themeColor="text1"/>
          <w:sz w:val="52"/>
          <w:szCs w:val="52"/>
          <w14:textFill>
            <w14:solidFill>
              <w14:schemeClr w14:val="tx1"/>
            </w14:solidFill>
          </w14:textFill>
        </w:rPr>
      </w:pPr>
    </w:p>
    <w:p>
      <w:pPr>
        <w:widowControl/>
        <w:ind w:firstLine="3122" w:firstLineChars="600"/>
        <w:jc w:val="left"/>
        <w:rPr>
          <w:rFonts w:hint="eastAsia" w:ascii="宋体" w:hAnsi="宋体" w:cs="宋体"/>
          <w:b/>
          <w:bCs/>
          <w:color w:val="000000" w:themeColor="text1"/>
          <w:sz w:val="52"/>
          <w:szCs w:val="52"/>
          <w14:textFill>
            <w14:solidFill>
              <w14:schemeClr w14:val="tx1"/>
            </w14:solidFill>
          </w14:textFill>
        </w:rPr>
      </w:pPr>
    </w:p>
    <w:p>
      <w:pPr>
        <w:widowControl/>
        <w:ind w:firstLine="3122" w:firstLineChars="600"/>
        <w:jc w:val="left"/>
        <w:rPr>
          <w:rFonts w:hint="eastAsia" w:ascii="宋体" w:hAnsi="宋体" w:cs="宋体"/>
          <w:b/>
          <w:bCs/>
          <w:color w:val="000000" w:themeColor="text1"/>
          <w:sz w:val="52"/>
          <w:szCs w:val="52"/>
          <w14:textFill>
            <w14:solidFill>
              <w14:schemeClr w14:val="tx1"/>
            </w14:solidFill>
          </w14:textFill>
        </w:rPr>
      </w:pPr>
    </w:p>
    <w:p>
      <w:pPr>
        <w:widowControl/>
        <w:ind w:firstLine="3373" w:firstLineChars="600"/>
        <w:jc w:val="left"/>
        <w:rPr>
          <w:rFonts w:hint="eastAsia" w:ascii="仿宋" w:hAnsi="仿宋" w:eastAsia="仿宋" w:cs="仿宋"/>
          <w:b/>
          <w:bCs/>
          <w:color w:val="000000" w:themeColor="text1"/>
          <w:sz w:val="56"/>
          <w:szCs w:val="56"/>
          <w14:textFill>
            <w14:solidFill>
              <w14:schemeClr w14:val="tx1"/>
            </w14:solidFill>
          </w14:textFill>
        </w:rPr>
      </w:pPr>
      <w:r>
        <w:rPr>
          <w:rFonts w:hint="eastAsia" w:ascii="仿宋" w:hAnsi="仿宋" w:eastAsia="仿宋" w:cs="仿宋"/>
          <w:b/>
          <w:bCs/>
          <w:color w:val="000000" w:themeColor="text1"/>
          <w:sz w:val="56"/>
          <w:szCs w:val="56"/>
          <w14:textFill>
            <w14:solidFill>
              <w14:schemeClr w14:val="tx1"/>
            </w14:solidFill>
          </w14:textFill>
        </w:rPr>
        <w:t>合 同 条 款</w:t>
      </w:r>
    </w:p>
    <w:p>
      <w:pPr>
        <w:widowControl/>
        <w:tabs>
          <w:tab w:val="left" w:pos="567"/>
        </w:tabs>
        <w:autoSpaceDE w:val="0"/>
        <w:autoSpaceDN w:val="0"/>
        <w:ind w:left="567" w:hanging="567"/>
        <w:jc w:val="center"/>
        <w:textAlignment w:val="bottom"/>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 xml:space="preserve">        </w:t>
      </w:r>
      <w:r>
        <w:rPr>
          <w:rFonts w:hint="eastAsia" w:ascii="仿宋" w:hAnsi="仿宋" w:eastAsia="仿宋" w:cs="仿宋"/>
          <w:b/>
          <w:color w:val="000000" w:themeColor="text1"/>
          <w:sz w:val="32"/>
          <w:szCs w:val="32"/>
          <w14:textFill>
            <w14:solidFill>
              <w14:schemeClr w14:val="tx1"/>
            </w14:solidFill>
          </w14:textFill>
        </w:rPr>
        <w:t>（仅供参考）</w:t>
      </w:r>
    </w:p>
    <w:p>
      <w:pPr>
        <w:widowControl/>
        <w:tabs>
          <w:tab w:val="left" w:pos="567"/>
        </w:tabs>
        <w:autoSpaceDE w:val="0"/>
        <w:autoSpaceDN w:val="0"/>
        <w:ind w:left="567" w:hanging="567"/>
        <w:jc w:val="center"/>
        <w:textAlignment w:val="bottom"/>
        <w:outlineLvl w:val="0"/>
        <w:rPr>
          <w:rFonts w:hint="eastAsia" w:ascii="仿宋" w:hAnsi="仿宋" w:eastAsia="仿宋" w:cs="仿宋"/>
          <w:b/>
          <w:color w:val="000000" w:themeColor="text1"/>
          <w:sz w:val="56"/>
          <w:szCs w:val="24"/>
          <w14:textFill>
            <w14:solidFill>
              <w14:schemeClr w14:val="tx1"/>
            </w14:solidFill>
          </w14:textFill>
        </w:rPr>
      </w:pPr>
    </w:p>
    <w:p>
      <w:pPr>
        <w:widowControl/>
        <w:tabs>
          <w:tab w:val="left" w:pos="567"/>
        </w:tabs>
        <w:autoSpaceDE w:val="0"/>
        <w:autoSpaceDN w:val="0"/>
        <w:ind w:left="567" w:hanging="567"/>
        <w:jc w:val="center"/>
        <w:textAlignment w:val="bottom"/>
        <w:outlineLvl w:val="0"/>
        <w:rPr>
          <w:rFonts w:hint="eastAsia" w:ascii="仿宋" w:hAnsi="仿宋" w:eastAsia="仿宋" w:cs="仿宋"/>
          <w:b/>
          <w:color w:val="000000" w:themeColor="text1"/>
          <w:sz w:val="56"/>
          <w:szCs w:val="24"/>
          <w14:textFill>
            <w14:solidFill>
              <w14:schemeClr w14:val="tx1"/>
            </w14:solidFill>
          </w14:textFill>
        </w:rPr>
      </w:pPr>
    </w:p>
    <w:p>
      <w:pPr>
        <w:widowControl/>
        <w:tabs>
          <w:tab w:val="left" w:pos="567"/>
        </w:tabs>
        <w:autoSpaceDE w:val="0"/>
        <w:autoSpaceDN w:val="0"/>
        <w:ind w:left="567" w:hanging="567"/>
        <w:jc w:val="center"/>
        <w:textAlignment w:val="bottom"/>
        <w:outlineLvl w:val="0"/>
        <w:rPr>
          <w:rFonts w:hint="eastAsia" w:ascii="仿宋" w:hAnsi="仿宋" w:eastAsia="仿宋" w:cs="仿宋"/>
          <w:b/>
          <w:color w:val="000000" w:themeColor="text1"/>
          <w:sz w:val="56"/>
          <w:szCs w:val="24"/>
          <w14:textFill>
            <w14:solidFill>
              <w14:schemeClr w14:val="tx1"/>
            </w14:solidFill>
          </w14:textFill>
        </w:rPr>
      </w:pPr>
    </w:p>
    <w:p>
      <w:pPr>
        <w:widowControl/>
        <w:tabs>
          <w:tab w:val="left" w:pos="567"/>
        </w:tabs>
        <w:autoSpaceDE w:val="0"/>
        <w:autoSpaceDN w:val="0"/>
        <w:ind w:left="567" w:hanging="567"/>
        <w:jc w:val="center"/>
        <w:textAlignment w:val="bottom"/>
        <w:outlineLvl w:val="0"/>
        <w:rPr>
          <w:rFonts w:hint="eastAsia" w:ascii="仿宋" w:hAnsi="仿宋" w:eastAsia="仿宋" w:cs="仿宋"/>
          <w:b/>
          <w:color w:val="000000" w:themeColor="text1"/>
          <w:sz w:val="56"/>
          <w:szCs w:val="24"/>
          <w14:textFill>
            <w14:solidFill>
              <w14:schemeClr w14:val="tx1"/>
            </w14:solidFill>
          </w14:textFill>
        </w:rPr>
      </w:pPr>
    </w:p>
    <w:p>
      <w:pPr>
        <w:widowControl/>
        <w:tabs>
          <w:tab w:val="left" w:pos="567"/>
        </w:tabs>
        <w:autoSpaceDE w:val="0"/>
        <w:autoSpaceDN w:val="0"/>
        <w:ind w:left="567" w:hanging="567"/>
        <w:jc w:val="center"/>
        <w:textAlignment w:val="bottom"/>
        <w:outlineLvl w:val="0"/>
        <w:rPr>
          <w:rFonts w:hint="eastAsia" w:ascii="仿宋" w:hAnsi="仿宋" w:eastAsia="仿宋" w:cs="仿宋"/>
          <w:b/>
          <w:color w:val="000000" w:themeColor="text1"/>
          <w:sz w:val="56"/>
          <w:szCs w:val="24"/>
          <w14:textFill>
            <w14:solidFill>
              <w14:schemeClr w14:val="tx1"/>
            </w14:solidFill>
          </w14:textFill>
        </w:rPr>
      </w:pPr>
    </w:p>
    <w:p>
      <w:pPr>
        <w:widowControl/>
        <w:tabs>
          <w:tab w:val="left" w:pos="567"/>
        </w:tabs>
        <w:autoSpaceDE w:val="0"/>
        <w:autoSpaceDN w:val="0"/>
        <w:spacing w:line="360" w:lineRule="auto"/>
        <w:ind w:left="567" w:hanging="567"/>
        <w:jc w:val="center"/>
        <w:textAlignment w:val="bottom"/>
        <w:outlineLvl w:val="0"/>
        <w:rPr>
          <w:rFonts w:hint="eastAsia" w:ascii="仿宋" w:hAnsi="仿宋" w:eastAsia="仿宋" w:cs="仿宋"/>
          <w:b/>
          <w:color w:val="000000" w:themeColor="text1"/>
          <w:sz w:val="28"/>
          <w:szCs w:val="24"/>
          <w14:textFill>
            <w14:solidFill>
              <w14:schemeClr w14:val="tx1"/>
            </w14:solidFill>
          </w14:textFill>
        </w:rPr>
      </w:pPr>
    </w:p>
    <w:p>
      <w:pPr>
        <w:widowControl/>
        <w:tabs>
          <w:tab w:val="left" w:pos="567"/>
        </w:tabs>
        <w:autoSpaceDE w:val="0"/>
        <w:autoSpaceDN w:val="0"/>
        <w:spacing w:line="360" w:lineRule="auto"/>
        <w:ind w:left="567" w:hanging="567"/>
        <w:jc w:val="center"/>
        <w:textAlignment w:val="bottom"/>
        <w:outlineLvl w:val="0"/>
        <w:rPr>
          <w:rFonts w:hint="eastAsia" w:ascii="仿宋" w:hAnsi="仿宋" w:eastAsia="仿宋" w:cs="仿宋"/>
          <w:b/>
          <w:color w:val="000000" w:themeColor="text1"/>
          <w:sz w:val="28"/>
          <w:szCs w:val="24"/>
          <w14:textFill>
            <w14:solidFill>
              <w14:schemeClr w14:val="tx1"/>
            </w14:solidFill>
          </w14:textFill>
        </w:rPr>
      </w:pPr>
    </w:p>
    <w:p>
      <w:pPr>
        <w:widowControl/>
        <w:tabs>
          <w:tab w:val="left" w:pos="567"/>
        </w:tabs>
        <w:autoSpaceDE w:val="0"/>
        <w:autoSpaceDN w:val="0"/>
        <w:spacing w:line="360" w:lineRule="auto"/>
        <w:ind w:left="567" w:hanging="567"/>
        <w:jc w:val="center"/>
        <w:textAlignment w:val="bottom"/>
        <w:outlineLvl w:val="0"/>
        <w:rPr>
          <w:rFonts w:hint="eastAsia" w:ascii="仿宋" w:hAnsi="仿宋" w:eastAsia="仿宋" w:cs="仿宋"/>
          <w:b/>
          <w:color w:val="000000" w:themeColor="text1"/>
          <w:sz w:val="28"/>
          <w:szCs w:val="24"/>
          <w14:textFill>
            <w14:solidFill>
              <w14:schemeClr w14:val="tx1"/>
            </w14:solidFill>
          </w14:textFill>
        </w:rPr>
      </w:pPr>
    </w:p>
    <w:p>
      <w:pPr>
        <w:widowControl/>
        <w:tabs>
          <w:tab w:val="left" w:pos="567"/>
        </w:tabs>
        <w:autoSpaceDE w:val="0"/>
        <w:autoSpaceDN w:val="0"/>
        <w:spacing w:line="360" w:lineRule="auto"/>
        <w:ind w:left="567" w:hanging="567"/>
        <w:jc w:val="center"/>
        <w:textAlignment w:val="bottom"/>
        <w:outlineLvl w:val="0"/>
        <w:rPr>
          <w:rFonts w:hint="eastAsia" w:ascii="仿宋" w:hAnsi="仿宋" w:eastAsia="仿宋" w:cs="仿宋"/>
          <w:b/>
          <w:color w:val="000000" w:themeColor="text1"/>
          <w:sz w:val="28"/>
          <w:szCs w:val="24"/>
          <w14:textFill>
            <w14:solidFill>
              <w14:schemeClr w14:val="tx1"/>
            </w14:solidFill>
          </w14:textFill>
        </w:rPr>
      </w:pPr>
    </w:p>
    <w:p>
      <w:pPr>
        <w:widowControl/>
        <w:tabs>
          <w:tab w:val="left" w:pos="567"/>
        </w:tabs>
        <w:autoSpaceDE w:val="0"/>
        <w:autoSpaceDN w:val="0"/>
        <w:spacing w:line="360" w:lineRule="auto"/>
        <w:ind w:left="567" w:hanging="567"/>
        <w:jc w:val="center"/>
        <w:textAlignment w:val="bottom"/>
        <w:outlineLvl w:val="0"/>
        <w:rPr>
          <w:rFonts w:hint="eastAsia" w:ascii="仿宋" w:hAnsi="仿宋" w:eastAsia="仿宋" w:cs="仿宋"/>
          <w:b/>
          <w:color w:val="000000" w:themeColor="text1"/>
          <w:sz w:val="28"/>
          <w:szCs w:val="24"/>
          <w14:textFill>
            <w14:solidFill>
              <w14:schemeClr w14:val="tx1"/>
            </w14:solidFill>
          </w14:textFill>
        </w:rPr>
      </w:pPr>
    </w:p>
    <w:p>
      <w:pPr>
        <w:widowControl/>
        <w:tabs>
          <w:tab w:val="left" w:pos="567"/>
        </w:tabs>
        <w:autoSpaceDE w:val="0"/>
        <w:autoSpaceDN w:val="0"/>
        <w:spacing w:line="360" w:lineRule="auto"/>
        <w:ind w:left="567" w:hanging="567"/>
        <w:jc w:val="center"/>
        <w:textAlignment w:val="bottom"/>
        <w:outlineLvl w:val="0"/>
        <w:rPr>
          <w:rFonts w:hint="eastAsia" w:ascii="仿宋" w:hAnsi="仿宋" w:eastAsia="仿宋" w:cs="仿宋"/>
          <w:b/>
          <w:color w:val="000000" w:themeColor="text1"/>
          <w:sz w:val="28"/>
          <w:szCs w:val="24"/>
          <w14:textFill>
            <w14:solidFill>
              <w14:schemeClr w14:val="tx1"/>
            </w14:solidFill>
          </w14:textFill>
        </w:rPr>
      </w:pPr>
    </w:p>
    <w:p>
      <w:pPr>
        <w:widowControl/>
        <w:tabs>
          <w:tab w:val="left" w:pos="567"/>
        </w:tabs>
        <w:autoSpaceDE w:val="0"/>
        <w:autoSpaceDN w:val="0"/>
        <w:spacing w:line="360" w:lineRule="auto"/>
        <w:ind w:left="567" w:hanging="567"/>
        <w:jc w:val="center"/>
        <w:textAlignment w:val="bottom"/>
        <w:outlineLvl w:val="0"/>
        <w:rPr>
          <w:rFonts w:hint="eastAsia" w:ascii="仿宋" w:hAnsi="仿宋" w:eastAsia="仿宋" w:cs="仿宋"/>
          <w:b/>
          <w:color w:val="000000" w:themeColor="text1"/>
          <w:sz w:val="28"/>
          <w:szCs w:val="24"/>
          <w14:textFill>
            <w14:solidFill>
              <w14:schemeClr w14:val="tx1"/>
            </w14:solidFill>
          </w14:textFill>
        </w:rPr>
      </w:pPr>
    </w:p>
    <w:p>
      <w:pPr>
        <w:widowControl/>
        <w:tabs>
          <w:tab w:val="left" w:pos="567"/>
        </w:tabs>
        <w:autoSpaceDE w:val="0"/>
        <w:autoSpaceDN w:val="0"/>
        <w:spacing w:line="360" w:lineRule="auto"/>
        <w:ind w:left="567" w:hanging="567"/>
        <w:jc w:val="center"/>
        <w:textAlignment w:val="bottom"/>
        <w:outlineLvl w:val="0"/>
        <w:rPr>
          <w:rFonts w:hint="eastAsia"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《中山大学孙逸仙纪念医院深汕中心医院</w:t>
      </w:r>
      <w:r>
        <w:rPr>
          <w:rFonts w:hint="eastAsia" w:ascii="仿宋" w:hAnsi="仿宋" w:eastAsia="仿宋" w:cs="仿宋"/>
          <w:b/>
          <w:color w:val="000000" w:themeColor="text1"/>
          <w:sz w:val="28"/>
          <w:szCs w:val="24"/>
          <w:lang w:eastAsia="zh-CN"/>
          <w14:textFill>
            <w14:solidFill>
              <w14:schemeClr w14:val="tx1"/>
            </w14:solidFill>
          </w14:textFill>
        </w:rPr>
        <w:t>停车场服务项目</w:t>
      </w:r>
      <w:r>
        <w:rPr>
          <w:rFonts w:hint="eastAsia" w:ascii="仿宋" w:hAnsi="仿宋" w:eastAsia="仿宋" w:cs="仿宋"/>
          <w:b/>
          <w:bCs/>
          <w:color w:val="000000" w:themeColor="text1"/>
          <w:sz w:val="28"/>
          <w:szCs w:val="24"/>
          <w14:textFill>
            <w14:solidFill>
              <w14:schemeClr w14:val="tx1"/>
            </w14:solidFill>
          </w14:textFill>
        </w:rPr>
        <w:t>合同书</w:t>
      </w:r>
      <w:r>
        <w:rPr>
          <w:rFonts w:hint="eastAsia" w:ascii="仿宋" w:hAnsi="仿宋" w:eastAsia="仿宋" w:cs="仿宋"/>
          <w:b/>
          <w:color w:val="000000" w:themeColor="text1"/>
          <w:sz w:val="28"/>
          <w:szCs w:val="24"/>
          <w14:textFill>
            <w14:solidFill>
              <w14:schemeClr w14:val="tx1"/>
            </w14:solidFill>
          </w14:textFill>
        </w:rPr>
        <w:t>》</w:t>
      </w:r>
    </w:p>
    <w:p>
      <w:pPr>
        <w:tabs>
          <w:tab w:val="left" w:pos="7020"/>
          <w:tab w:val="left" w:pos="7380"/>
        </w:tabs>
        <w:spacing w:line="360" w:lineRule="auto"/>
        <w:ind w:right="480"/>
        <w:rPr>
          <w:rFonts w:hint="eastAsia" w:ascii="仿宋" w:hAnsi="仿宋" w:eastAsia="仿宋" w:cs="仿宋"/>
          <w:b/>
          <w:color w:val="000000" w:themeColor="text1"/>
          <w:sz w:val="28"/>
          <w:szCs w:val="24"/>
          <w14:textFill>
            <w14:solidFill>
              <w14:schemeClr w14:val="tx1"/>
            </w14:solidFill>
          </w14:textFill>
        </w:rPr>
      </w:pPr>
    </w:p>
    <w:p>
      <w:pPr>
        <w:tabs>
          <w:tab w:val="left" w:pos="7020"/>
          <w:tab w:val="left" w:pos="7380"/>
        </w:tabs>
        <w:spacing w:line="360" w:lineRule="auto"/>
        <w:ind w:right="480" w:firstLine="3373" w:firstLineChars="1200"/>
        <w:rPr>
          <w:rFonts w:hint="eastAsia"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 xml:space="preserve">第一章  总   则              </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甲方：中山大学孙逸仙纪念医院深汕中心医院（以下简称“甲方” ）</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法定地</w:t>
      </w:r>
      <w:r>
        <w:rPr>
          <w:rFonts w:hint="eastAsia" w:ascii="仿宋" w:hAnsi="仿宋" w:eastAsia="仿宋" w:cs="仿宋"/>
          <w:color w:val="000000" w:themeColor="text1"/>
          <w:sz w:val="24"/>
          <w:szCs w:val="24"/>
          <w:highlight w:val="none"/>
          <w14:textFill>
            <w14:solidFill>
              <w14:schemeClr w14:val="tx1"/>
            </w14:solidFill>
          </w14:textFill>
        </w:rPr>
        <w:t>址：</w:t>
      </w:r>
      <w:r>
        <w:rPr>
          <w:rFonts w:hint="eastAsia" w:ascii="仿宋" w:hAnsi="仿宋" w:eastAsia="仿宋" w:cs="Arial Unicode MS"/>
          <w:kern w:val="0"/>
          <w:sz w:val="24"/>
          <w:szCs w:val="24"/>
          <w:highlight w:val="none"/>
          <w:lang w:val="en-US" w:eastAsia="zh-CN"/>
        </w:rPr>
        <w:t>汕尾市城区东涌镇站前横二路1号</w:t>
      </w:r>
    </w:p>
    <w:p>
      <w:pPr>
        <w:spacing w:line="360"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电话：0660-</w:t>
      </w:r>
      <w:r>
        <w:rPr>
          <w:rFonts w:hint="eastAsia" w:ascii="仿宋" w:hAnsi="仿宋" w:eastAsia="仿宋" w:cs="仿宋"/>
          <w:color w:val="000000" w:themeColor="text1"/>
          <w:sz w:val="24"/>
          <w:szCs w:val="24"/>
          <w:lang w:val="en-US" w:eastAsia="zh-CN"/>
          <w14:textFill>
            <w14:solidFill>
              <w14:schemeClr w14:val="tx1"/>
            </w14:solidFill>
          </w14:textFill>
        </w:rPr>
        <w:t>3863555</w:t>
      </w:r>
    </w:p>
    <w:p>
      <w:pPr>
        <w:spacing w:line="360" w:lineRule="auto"/>
        <w:rPr>
          <w:rFonts w:hint="eastAsia" w:ascii="仿宋" w:hAnsi="仿宋" w:eastAsia="仿宋" w:cs="仿宋"/>
          <w:color w:val="000000" w:themeColor="text1"/>
          <w:sz w:val="24"/>
          <w:szCs w:val="24"/>
          <w14:textFill>
            <w14:solidFill>
              <w14:schemeClr w14:val="tx1"/>
            </w14:solidFill>
          </w14:textFill>
        </w:rPr>
      </w:pP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乙方：×××公司（以下简称“乙方” ）</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法定地址：×××</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w:t>
      </w:r>
    </w:p>
    <w:p>
      <w:p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第一条、 本合同当事人</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委托方（以下简称甲方）：中山大学孙逸仙纪念医院深汕中心医院</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受托方（以下简称乙方）：×××公司</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根据有关法律、法规，在自愿、平等、协商一致的基础上，甲方将医院</w:t>
      </w:r>
      <w:r>
        <w:rPr>
          <w:rFonts w:hint="eastAsia" w:ascii="仿宋" w:hAnsi="仿宋" w:eastAsia="仿宋" w:cs="仿宋"/>
          <w:color w:val="000000" w:themeColor="text1"/>
          <w:sz w:val="24"/>
          <w:szCs w:val="24"/>
          <w:lang w:eastAsia="zh-CN"/>
          <w14:textFill>
            <w14:solidFill>
              <w14:schemeClr w14:val="tx1"/>
            </w14:solidFill>
          </w14:textFill>
        </w:rPr>
        <w:t>停车场服务项目</w:t>
      </w:r>
      <w:r>
        <w:rPr>
          <w:rFonts w:hint="eastAsia" w:ascii="仿宋" w:hAnsi="仿宋" w:eastAsia="仿宋" w:cs="仿宋"/>
          <w:color w:val="000000" w:themeColor="text1"/>
          <w:sz w:val="24"/>
          <w:szCs w:val="24"/>
          <w14:textFill>
            <w14:solidFill>
              <w14:schemeClr w14:val="tx1"/>
            </w14:solidFill>
          </w14:textFill>
        </w:rPr>
        <w:t>委托乙方完成相关服务，订立本合同。</w:t>
      </w:r>
    </w:p>
    <w:p>
      <w:p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第二条、项目范围、履约保证金</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乙方向甲方提供医院</w:t>
      </w:r>
      <w:r>
        <w:rPr>
          <w:rFonts w:hint="eastAsia" w:ascii="仿宋" w:hAnsi="仿宋" w:eastAsia="仿宋" w:cs="仿宋"/>
          <w:color w:val="000000" w:themeColor="text1"/>
          <w:sz w:val="24"/>
          <w:szCs w:val="24"/>
          <w:lang w:eastAsia="zh-CN"/>
          <w14:textFill>
            <w14:solidFill>
              <w14:schemeClr w14:val="tx1"/>
            </w14:solidFill>
          </w14:textFill>
        </w:rPr>
        <w:t>停车场服务</w:t>
      </w:r>
      <w:r>
        <w:rPr>
          <w:rFonts w:hint="eastAsia" w:ascii="仿宋" w:hAnsi="仿宋" w:eastAsia="仿宋" w:cs="仿宋"/>
          <w:color w:val="000000" w:themeColor="text1"/>
          <w:sz w:val="24"/>
          <w:szCs w:val="24"/>
          <w:highlight w:val="none"/>
          <w:lang w:eastAsia="zh-CN"/>
          <w14:textFill>
            <w14:solidFill>
              <w14:schemeClr w14:val="tx1"/>
            </w14:solidFill>
          </w14:textFill>
        </w:rPr>
        <w:t>项目</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kern w:val="0"/>
          <w:sz w:val="24"/>
          <w:szCs w:val="24"/>
          <w:highlight w:val="none"/>
        </w:rPr>
        <w:t>甲乙双方签订协议后10个工作日内，乙方</w:t>
      </w:r>
      <w:r>
        <w:rPr>
          <w:rFonts w:hint="eastAsia" w:ascii="仿宋" w:hAnsi="仿宋" w:eastAsia="仿宋" w:cs="仿宋"/>
          <w:color w:val="000000" w:themeColor="text1"/>
          <w:sz w:val="24"/>
          <w:szCs w:val="24"/>
          <w14:textFill>
            <w14:solidFill>
              <w14:schemeClr w14:val="tx1"/>
            </w14:solidFill>
          </w14:textFill>
        </w:rPr>
        <w:t>向甲方缴纳5万</w:t>
      </w:r>
      <w:r>
        <w:rPr>
          <w:rFonts w:hint="eastAsia" w:ascii="仿宋" w:hAnsi="仿宋" w:eastAsia="仿宋" w:cs="仿宋"/>
          <w:color w:val="000000" w:themeColor="text1"/>
          <w:sz w:val="24"/>
          <w:szCs w:val="24"/>
          <w:lang w:val="en-US" w:eastAsia="zh-CN"/>
          <w14:textFill>
            <w14:solidFill>
              <w14:schemeClr w14:val="tx1"/>
            </w14:solidFill>
          </w14:textFill>
        </w:rPr>
        <w:t>履约</w:t>
      </w:r>
      <w:r>
        <w:rPr>
          <w:rFonts w:hint="eastAsia" w:ascii="仿宋" w:hAnsi="仿宋" w:eastAsia="仿宋" w:cs="仿宋"/>
          <w:color w:val="000000" w:themeColor="text1"/>
          <w:sz w:val="24"/>
          <w:szCs w:val="24"/>
          <w14:textFill>
            <w14:solidFill>
              <w14:schemeClr w14:val="tx1"/>
            </w14:solidFill>
          </w14:textFill>
        </w:rPr>
        <w:t>保证金。待合同完结后，凭收据凭证无息返还。</w:t>
      </w:r>
    </w:p>
    <w:p>
      <w:p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第三条、甲乙双方均应对履行本合同承担相应的责任</w:t>
      </w:r>
    </w:p>
    <w:p>
      <w:pPr>
        <w:spacing w:line="360" w:lineRule="auto"/>
        <w:rPr>
          <w:rFonts w:hint="eastAsia" w:ascii="仿宋" w:hAnsi="仿宋" w:eastAsia="仿宋" w:cs="仿宋"/>
          <w:color w:val="000000" w:themeColor="text1"/>
          <w:sz w:val="24"/>
          <w:szCs w:val="24"/>
          <w14:textFill>
            <w14:solidFill>
              <w14:schemeClr w14:val="tx1"/>
            </w14:solidFill>
          </w14:textFill>
        </w:rPr>
      </w:pPr>
    </w:p>
    <w:p>
      <w:pPr>
        <w:tabs>
          <w:tab w:val="left" w:pos="7020"/>
          <w:tab w:val="left" w:pos="7380"/>
        </w:tabs>
        <w:spacing w:line="360" w:lineRule="auto"/>
        <w:ind w:right="482"/>
        <w:jc w:val="center"/>
        <w:rPr>
          <w:rFonts w:hint="eastAsia"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第二章  管理服务事项</w:t>
      </w:r>
    </w:p>
    <w:p>
      <w:pPr>
        <w:spacing w:line="360" w:lineRule="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第四条、用户需求书</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制定停车场管理规定，完善停车场的安全措施，保障车辆停放安全，交通畅顺，出入有序，确保车场设施设备运转正常，打造汕尾市首个智能化医院停车场。</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（一）停车场外包管理服务按照一定数量车位承包经营形式。总车位承包数按照实际运营车位数量为准，详见附件</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。但外包管理服务应承担院区内所有停车位的日常管理工作。</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（二）★停车场系统后续涉及维护升级，合作乙方应无条件配合甲方完成智能化车位引导系统建设及升级。包括后续运营过程中停车场能耗、维修配件、改造升级等，详见附表，由乙方投入资金完成建设。</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（三）停车场所有运营增值项目（如：小猫洗车、充电桩、车场广告，电动车充电等）上报院方审核，其他停车场运营项目另增补协议，上交一定比例管理费。</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（四）停车场对外收费严格按照汕尾市发改局指导收费标准执行，所有对外收费异议及纠纷由乙方负责处理。</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（五）按照甲方要求投放设备、人员等，改造升级停车场系统管理，所有费用由乙方支出。</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（六）甲方公务车辆及市政主管部门来往车辆可报备免费通行，社会特种车辆免费通行例如警车、军车、消防车等等。</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（七）★甲方职工、第三方公司职工月卡收费归甲方所有，不纳入停车场收益。甲方职工在每月工资发放上直接扣除，第三方职工凭相关凭证到甲方财务部门缴纳停车月费。</w:t>
      </w:r>
    </w:p>
    <w:p>
      <w:pPr>
        <w:spacing w:line="360" w:lineRule="auto"/>
        <w:rPr>
          <w:rFonts w:hint="eastAsia" w:ascii="仿宋" w:hAnsi="仿宋" w:eastAsia="仿宋" w:cs="仿宋"/>
          <w:kern w:val="0"/>
          <w:sz w:val="28"/>
          <w:szCs w:val="28"/>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八</w:t>
      </w:r>
      <w:r>
        <w:rPr>
          <w:rFonts w:hint="eastAsia" w:ascii="仿宋" w:hAnsi="仿宋" w:eastAsia="仿宋" w:cs="仿宋"/>
          <w:color w:val="000000" w:themeColor="text1"/>
          <w:sz w:val="24"/>
          <w:szCs w:val="24"/>
          <w14:textFill>
            <w14:solidFill>
              <w14:schemeClr w14:val="tx1"/>
            </w14:solidFill>
          </w14:textFill>
        </w:rPr>
        <w:t>）★合同期内免收管理租金，合同期为1年。</w:t>
      </w:r>
    </w:p>
    <w:p>
      <w:p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第五条、其他管理服务事项</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1．招标文件、参选文件约定的其余服务管理事项；</w:t>
      </w:r>
    </w:p>
    <w:p>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深汕中心医院停车场外包需求方案</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见附件</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p>
    <w:p>
      <w:pPr>
        <w:keepNext w:val="0"/>
        <w:keepLines w:val="0"/>
        <w:widowControl w:val="0"/>
        <w:suppressLineNumbers w:val="0"/>
        <w:spacing w:before="0" w:beforeAutospacing="0" w:after="0" w:afterAutospacing="0" w:line="360" w:lineRule="auto"/>
        <w:ind w:left="0" w:right="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乙方须按甲方的服务质量管理要求及标准提供服务，甲方制定相关服务质量检查标准</w:t>
      </w:r>
      <w:r>
        <w:rPr>
          <w:rFonts w:hint="eastAsia" w:ascii="仿宋" w:hAnsi="仿宋" w:eastAsia="仿宋" w:cs="仿宋"/>
          <w:color w:val="000000" w:themeColor="text1"/>
          <w:sz w:val="24"/>
          <w:szCs w:val="24"/>
          <w:highlight w:val="none"/>
          <w:lang w:val="en-US" w:eastAsia="zh-CN"/>
          <w14:textFill>
            <w14:solidFill>
              <w14:schemeClr w14:val="tx1"/>
            </w14:solidFill>
          </w14:textFill>
        </w:rPr>
        <w:t>表</w:t>
      </w:r>
      <w:r>
        <w:rPr>
          <w:rFonts w:hint="eastAsia" w:ascii="仿宋" w:hAnsi="仿宋" w:eastAsia="仿宋" w:cs="仿宋"/>
          <w:color w:val="000000" w:themeColor="text1"/>
          <w:sz w:val="24"/>
          <w:szCs w:val="24"/>
          <w:highlight w:val="none"/>
          <w14:textFill>
            <w14:solidFill>
              <w14:schemeClr w14:val="tx1"/>
            </w14:solidFill>
          </w14:textFill>
        </w:rPr>
        <w:t>并</w:t>
      </w:r>
      <w:r>
        <w:rPr>
          <w:rFonts w:hint="eastAsia" w:ascii="仿宋" w:hAnsi="仿宋" w:eastAsia="仿宋" w:cs="仿宋"/>
          <w:color w:val="000000" w:themeColor="text1"/>
          <w:sz w:val="24"/>
          <w:szCs w:val="24"/>
          <w:highlight w:val="none"/>
          <w:lang w:val="en-US" w:eastAsia="zh-CN"/>
          <w14:textFill>
            <w14:solidFill>
              <w14:schemeClr w14:val="tx1"/>
            </w14:solidFill>
          </w14:textFill>
        </w:rPr>
        <w:t>每月</w:t>
      </w:r>
      <w:r>
        <w:rPr>
          <w:rFonts w:hint="eastAsia" w:ascii="仿宋" w:hAnsi="仿宋" w:eastAsia="仿宋" w:cs="仿宋"/>
          <w:color w:val="000000" w:themeColor="text1"/>
          <w:sz w:val="24"/>
          <w:szCs w:val="24"/>
          <w:highlight w:val="none"/>
          <w14:textFill>
            <w14:solidFill>
              <w14:schemeClr w14:val="tx1"/>
            </w14:solidFill>
          </w14:textFill>
        </w:rPr>
        <w:t>进行检查和评价</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详见附件2《中山大学孙逸仙纪念医院深汕中心医院停车场外包管理服务质量考核表》</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评分细则如下：</w:t>
      </w:r>
    </w:p>
    <w:p>
      <w:pPr>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（1）得分≥85分的，免扣；</w:t>
      </w:r>
    </w:p>
    <w:p>
      <w:pPr>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（2）80≤得分＜85分的，本月扣款1000元；</w:t>
      </w:r>
    </w:p>
    <w:p>
      <w:pPr>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（3）60≤得分＜80分的，本月扣款5000元；</w:t>
      </w:r>
    </w:p>
    <w:p>
      <w:pPr>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（4）得分＜60分的，警告，本月扣款10000元；</w:t>
      </w:r>
    </w:p>
    <w:p>
      <w:pPr>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（注：如累计两个月总扣分低于60，甲方将有权终止本合同并扣除履约保证金。）</w:t>
      </w:r>
    </w:p>
    <w:p>
      <w:pPr>
        <w:tabs>
          <w:tab w:val="left" w:pos="7020"/>
          <w:tab w:val="left" w:pos="7380"/>
        </w:tabs>
        <w:spacing w:line="360" w:lineRule="auto"/>
        <w:ind w:right="482"/>
        <w:jc w:val="center"/>
        <w:rPr>
          <w:rFonts w:hint="eastAsia" w:ascii="仿宋" w:hAnsi="仿宋" w:eastAsia="仿宋" w:cs="仿宋"/>
          <w:b/>
          <w:color w:val="000000" w:themeColor="text1"/>
          <w:sz w:val="28"/>
          <w:szCs w:val="24"/>
          <w14:textFill>
            <w14:solidFill>
              <w14:schemeClr w14:val="tx1"/>
            </w14:solidFill>
          </w14:textFill>
        </w:rPr>
      </w:pPr>
    </w:p>
    <w:p>
      <w:pPr>
        <w:tabs>
          <w:tab w:val="left" w:pos="7020"/>
          <w:tab w:val="left" w:pos="7380"/>
        </w:tabs>
        <w:spacing w:line="360" w:lineRule="auto"/>
        <w:ind w:right="482"/>
        <w:jc w:val="center"/>
        <w:rPr>
          <w:rFonts w:hint="eastAsia" w:ascii="仿宋" w:hAnsi="仿宋" w:eastAsia="仿宋" w:cs="仿宋"/>
          <w:b/>
          <w:color w:val="000000" w:themeColor="text1"/>
          <w:sz w:val="28"/>
          <w:szCs w:val="24"/>
          <w14:textFill>
            <w14:solidFill>
              <w14:schemeClr w14:val="tx1"/>
            </w14:solidFill>
          </w14:textFill>
        </w:rPr>
      </w:pPr>
    </w:p>
    <w:p>
      <w:pPr>
        <w:tabs>
          <w:tab w:val="left" w:pos="7020"/>
          <w:tab w:val="left" w:pos="7380"/>
        </w:tabs>
        <w:spacing w:line="360" w:lineRule="auto"/>
        <w:ind w:right="482"/>
        <w:jc w:val="center"/>
        <w:rPr>
          <w:rFonts w:hint="eastAsia"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第三章  管理服务期限</w:t>
      </w:r>
    </w:p>
    <w:p>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第六条、</w:t>
      </w:r>
      <w:r>
        <w:rPr>
          <w:rFonts w:hint="eastAsia" w:ascii="仿宋" w:hAnsi="仿宋" w:eastAsia="仿宋" w:cs="仿宋"/>
          <w:b/>
          <w:bCs/>
          <w:color w:val="000000" w:themeColor="text1"/>
          <w:sz w:val="24"/>
          <w:szCs w:val="24"/>
          <w:lang w:val="en-US" w:eastAsia="zh-CN"/>
          <w14:textFill>
            <w14:solidFill>
              <w14:schemeClr w14:val="tx1"/>
            </w14:solidFill>
          </w14:textFill>
        </w:rPr>
        <w:t>管理服务期限</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合同期内免收管理租金，合同期为</w:t>
      </w:r>
      <w:r>
        <w:rPr>
          <w:rFonts w:hint="eastAsia" w:ascii="仿宋" w:hAnsi="仿宋" w:eastAsia="仿宋" w:cs="仿宋"/>
          <w:color w:val="000000" w:themeColor="text1"/>
          <w:sz w:val="24"/>
          <w:szCs w:val="24"/>
          <w:lang w:val="en-US" w:eastAsia="zh-CN"/>
          <w14:textFill>
            <w14:solidFill>
              <w14:schemeClr w14:val="tx1"/>
            </w14:solidFill>
          </w14:textFill>
        </w:rPr>
        <w:t>甲乙双方法人签约之日起</w:t>
      </w:r>
      <w:r>
        <w:rPr>
          <w:rFonts w:hint="eastAsia" w:ascii="仿宋" w:hAnsi="仿宋" w:eastAsia="仿宋" w:cs="仿宋"/>
          <w:color w:val="000000" w:themeColor="text1"/>
          <w:sz w:val="24"/>
          <w:szCs w:val="24"/>
          <w14:textFill>
            <w14:solidFill>
              <w14:schemeClr w14:val="tx1"/>
            </w14:solidFill>
          </w14:textFill>
        </w:rPr>
        <w:t>1年。在合同期内，双方每</w:t>
      </w:r>
      <w:r>
        <w:rPr>
          <w:rFonts w:hint="eastAsia" w:ascii="仿宋" w:hAnsi="仿宋" w:eastAsia="仿宋" w:cs="仿宋"/>
          <w:color w:val="000000" w:themeColor="text1"/>
          <w:sz w:val="24"/>
          <w:szCs w:val="24"/>
          <w:lang w:val="en-US" w:eastAsia="zh-CN"/>
          <w14:textFill>
            <w14:solidFill>
              <w14:schemeClr w14:val="tx1"/>
            </w14:solidFill>
          </w14:textFill>
        </w:rPr>
        <w:t>个月</w:t>
      </w:r>
      <w:r>
        <w:rPr>
          <w:rFonts w:hint="eastAsia" w:ascii="仿宋" w:hAnsi="仿宋" w:eastAsia="仿宋" w:cs="仿宋"/>
          <w:color w:val="000000" w:themeColor="text1"/>
          <w:sz w:val="24"/>
          <w:szCs w:val="24"/>
          <w14:textFill>
            <w14:solidFill>
              <w14:schemeClr w14:val="tx1"/>
            </w14:solidFill>
          </w14:textFill>
        </w:rPr>
        <w:t>检查一次合同的履行情况。如乙方因乙方原因终止合同，扣除履约保证金。</w:t>
      </w:r>
    </w:p>
    <w:p>
      <w:pPr>
        <w:tabs>
          <w:tab w:val="left" w:pos="0"/>
          <w:tab w:val="left" w:pos="840"/>
        </w:tabs>
        <w:spacing w:line="360" w:lineRule="auto"/>
        <w:rPr>
          <w:rFonts w:hint="eastAsia" w:ascii="仿宋" w:hAnsi="仿宋" w:eastAsia="仿宋" w:cs="仿宋"/>
          <w:color w:val="000000" w:themeColor="text1"/>
          <w:sz w:val="22"/>
          <w:szCs w:val="24"/>
          <w14:textFill>
            <w14:solidFill>
              <w14:schemeClr w14:val="tx1"/>
            </w14:solidFill>
          </w14:textFill>
        </w:rPr>
      </w:pPr>
    </w:p>
    <w:p>
      <w:pPr>
        <w:spacing w:line="360" w:lineRule="auto"/>
        <w:rPr>
          <w:rFonts w:hint="eastAsia" w:ascii="仿宋" w:hAnsi="仿宋" w:eastAsia="仿宋" w:cs="仿宋"/>
          <w:color w:val="000000" w:themeColor="text1"/>
          <w:sz w:val="24"/>
          <w:szCs w:val="24"/>
          <w14:textFill>
            <w14:solidFill>
              <w14:schemeClr w14:val="tx1"/>
            </w14:solidFill>
          </w14:textFill>
        </w:rPr>
      </w:pPr>
    </w:p>
    <w:p>
      <w:pPr>
        <w:tabs>
          <w:tab w:val="left" w:pos="7020"/>
          <w:tab w:val="left" w:pos="7380"/>
        </w:tabs>
        <w:spacing w:line="360" w:lineRule="auto"/>
        <w:ind w:right="482"/>
        <w:jc w:val="center"/>
        <w:rPr>
          <w:rFonts w:hint="eastAsia"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第</w:t>
      </w:r>
      <w:r>
        <w:rPr>
          <w:rFonts w:hint="eastAsia" w:ascii="仿宋" w:hAnsi="仿宋" w:eastAsia="仿宋" w:cs="仿宋"/>
          <w:b/>
          <w:color w:val="000000" w:themeColor="text1"/>
          <w:sz w:val="28"/>
          <w:szCs w:val="24"/>
          <w:lang w:val="en-US" w:eastAsia="zh-CN"/>
          <w14:textFill>
            <w14:solidFill>
              <w14:schemeClr w14:val="tx1"/>
            </w14:solidFill>
          </w14:textFill>
        </w:rPr>
        <w:t>四</w:t>
      </w:r>
      <w:r>
        <w:rPr>
          <w:rFonts w:hint="eastAsia" w:ascii="仿宋" w:hAnsi="仿宋" w:eastAsia="仿宋" w:cs="仿宋"/>
          <w:b/>
          <w:color w:val="000000" w:themeColor="text1"/>
          <w:sz w:val="28"/>
          <w:szCs w:val="24"/>
          <w14:textFill>
            <w14:solidFill>
              <w14:schemeClr w14:val="tx1"/>
            </w14:solidFill>
          </w14:textFill>
        </w:rPr>
        <w:t>章  双方权利义务</w:t>
      </w:r>
    </w:p>
    <w:p>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第七条、甲方权利和义务</w:t>
      </w:r>
    </w:p>
    <w:p>
      <w:pPr>
        <w:numPr>
          <w:ilvl w:val="0"/>
          <w:numId w:val="4"/>
        </w:numPr>
        <w:spacing w:line="360" w:lineRule="auto"/>
        <w:ind w:left="0" w:leftChars="0"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代表和维护使用人的合法权益；</w:t>
      </w:r>
    </w:p>
    <w:p>
      <w:pPr>
        <w:numPr>
          <w:ilvl w:val="0"/>
          <w:numId w:val="4"/>
        </w:numPr>
        <w:spacing w:line="360" w:lineRule="auto"/>
        <w:ind w:left="0" w:leftChars="0"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审定乙方拟定的管理服务制度、收费标准；</w:t>
      </w:r>
    </w:p>
    <w:p>
      <w:pPr>
        <w:numPr>
          <w:ilvl w:val="0"/>
          <w:numId w:val="4"/>
        </w:numPr>
        <w:spacing w:line="360" w:lineRule="auto"/>
        <w:ind w:left="0" w:leftChars="0"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检查监督乙方管理工作的实施及制度的执行情况；</w:t>
      </w:r>
    </w:p>
    <w:p>
      <w:pPr>
        <w:numPr>
          <w:ilvl w:val="0"/>
          <w:numId w:val="4"/>
        </w:numPr>
        <w:spacing w:line="360" w:lineRule="auto"/>
        <w:ind w:left="0" w:leftChars="0"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审定乙方提出的管理服务年度计划、财务预算及决算，甲方有权检查乙方的财务报表及资料，对不合理的分配支出甲方有权提出调整及整改意见；</w:t>
      </w:r>
    </w:p>
    <w:p>
      <w:pPr>
        <w:numPr>
          <w:ilvl w:val="0"/>
          <w:numId w:val="4"/>
        </w:numPr>
        <w:spacing w:line="360" w:lineRule="auto"/>
        <w:ind w:left="0" w:leftChars="0"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协助乙方做好医院</w:t>
      </w:r>
      <w:r>
        <w:rPr>
          <w:rFonts w:hint="eastAsia" w:ascii="仿宋" w:hAnsi="仿宋" w:eastAsia="仿宋" w:cs="仿宋"/>
          <w:color w:val="000000" w:themeColor="text1"/>
          <w:sz w:val="24"/>
          <w:szCs w:val="24"/>
          <w:lang w:eastAsia="zh-CN"/>
          <w14:textFill>
            <w14:solidFill>
              <w14:schemeClr w14:val="tx1"/>
            </w14:solidFill>
          </w14:textFill>
        </w:rPr>
        <w:t>停车场服务项目</w:t>
      </w:r>
      <w:r>
        <w:rPr>
          <w:rFonts w:hint="eastAsia" w:ascii="仿宋" w:hAnsi="仿宋" w:eastAsia="仿宋" w:cs="仿宋"/>
          <w:color w:val="000000" w:themeColor="text1"/>
          <w:sz w:val="24"/>
          <w:szCs w:val="24"/>
          <w14:textFill>
            <w14:solidFill>
              <w14:schemeClr w14:val="tx1"/>
            </w14:solidFill>
          </w14:textFill>
        </w:rPr>
        <w:t>宣传教育活动；</w:t>
      </w:r>
    </w:p>
    <w:p>
      <w:pPr>
        <w:numPr>
          <w:ilvl w:val="0"/>
          <w:numId w:val="4"/>
        </w:numPr>
        <w:spacing w:line="360" w:lineRule="auto"/>
        <w:ind w:left="0" w:leftChars="0"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按照招标文件中的质量标准予以检查和考核，根据检查和考核结果，评价乙方的工作情况；</w:t>
      </w:r>
    </w:p>
    <w:p>
      <w:pPr>
        <w:numPr>
          <w:ilvl w:val="0"/>
          <w:numId w:val="4"/>
        </w:numPr>
        <w:spacing w:line="360" w:lineRule="auto"/>
        <w:ind w:left="0" w:leftChars="0"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招标文件约定的甲方其余权利和义务。</w:t>
      </w:r>
    </w:p>
    <w:p>
      <w:pPr>
        <w:numPr>
          <w:ilvl w:val="0"/>
          <w:numId w:val="0"/>
        </w:numPr>
        <w:spacing w:line="360" w:lineRule="auto"/>
        <w:ind w:leftChars="200"/>
        <w:rPr>
          <w:rFonts w:hint="eastAsia" w:ascii="仿宋" w:hAnsi="仿宋" w:eastAsia="仿宋" w:cs="仿宋"/>
          <w:color w:val="000000" w:themeColor="text1"/>
          <w:sz w:val="24"/>
          <w:szCs w:val="24"/>
          <w14:textFill>
            <w14:solidFill>
              <w14:schemeClr w14:val="tx1"/>
            </w14:solidFill>
          </w14:textFill>
        </w:rPr>
      </w:pPr>
    </w:p>
    <w:p>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第八条、乙方权利和义务</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根据有关法律法规及本合同的约定，制订管理服务制度；</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对服务使用人违反法规、规章的行为，提请甲方处理；</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未经甲方书面同意，乙方不得将本服务的管理责任转让给第三方，未经甲方同意不允许乙方分包或转包甲方服务管理事宜；</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在日常服务管理过程中对无法预见的事物或物业设施需要维修、保养要及时内向甲方反映；</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负责编制管理服务年度管理计划、资金使用计划及决算报告，乙方年度利润必须控制在合理范围内；</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对甲方提出的相关调整或整改意见，三天内完成，以符合甲方的要求；</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对本服务的公用设施不得擅自占用和改变使用功能，如需要在本</w:t>
      </w:r>
      <w:r>
        <w:rPr>
          <w:rFonts w:hint="eastAsia" w:ascii="仿宋" w:hAnsi="仿宋" w:eastAsia="仿宋" w:cs="仿宋"/>
          <w:color w:val="000000" w:themeColor="text1"/>
          <w:sz w:val="24"/>
          <w:szCs w:val="24"/>
          <w:lang w:val="en-US" w:eastAsia="zh-CN"/>
          <w14:textFill>
            <w14:solidFill>
              <w14:schemeClr w14:val="tx1"/>
            </w14:solidFill>
          </w14:textFill>
        </w:rPr>
        <w:t>院</w:t>
      </w:r>
      <w:r>
        <w:rPr>
          <w:rFonts w:hint="eastAsia" w:ascii="仿宋" w:hAnsi="仿宋" w:eastAsia="仿宋" w:cs="仿宋"/>
          <w:color w:val="000000" w:themeColor="text1"/>
          <w:sz w:val="24"/>
          <w:szCs w:val="24"/>
          <w14:textFill>
            <w14:solidFill>
              <w14:schemeClr w14:val="tx1"/>
            </w14:solidFill>
          </w14:textFill>
        </w:rPr>
        <w:t>内改造、扩建或完善配套项目，须与甲方协商经甲方同意后报有关部门批准方可实施；</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承担所租赁范围内物业的消防、保安、综合治理（禁止黄、赌、毒）的责任；</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本合同终止时，乙方必须向甲方移交全部管理用房及管理服务的全部档案资料。</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乙方员工遵守甲方的规章制度、安全保密要求。</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必须按照有关规定，在规定的期间内，完成各种许可证的申请和获得批准文件，对已获得批准文件的按时按规定予以换证，负责为员工购买社会养老保险、医疗保险、失业保险、工伤和生育保险等，依法承担乙方员工的安全保险责任及服务对象的陪护安全责任；</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乙方提供的医院</w:t>
      </w:r>
      <w:r>
        <w:rPr>
          <w:rFonts w:hint="eastAsia" w:ascii="仿宋" w:hAnsi="仿宋" w:eastAsia="仿宋" w:cs="仿宋"/>
          <w:color w:val="000000" w:themeColor="text1"/>
          <w:sz w:val="24"/>
          <w:szCs w:val="24"/>
          <w:lang w:eastAsia="zh-CN"/>
          <w14:textFill>
            <w14:solidFill>
              <w14:schemeClr w14:val="tx1"/>
            </w14:solidFill>
          </w14:textFill>
        </w:rPr>
        <w:t>停车场服务项目</w:t>
      </w:r>
      <w:r>
        <w:rPr>
          <w:rFonts w:hint="eastAsia" w:ascii="仿宋" w:hAnsi="仿宋" w:eastAsia="仿宋" w:cs="仿宋"/>
          <w:color w:val="000000" w:themeColor="text1"/>
          <w:sz w:val="24"/>
          <w:szCs w:val="24"/>
          <w14:textFill>
            <w14:solidFill>
              <w14:schemeClr w14:val="tx1"/>
            </w14:solidFill>
          </w14:textFill>
        </w:rPr>
        <w:t>收费价格必须与甲方共同协商决定，并获得甲方批准。乙方向患者提供正规发票，并承担相关责任。</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乙方须按甲方的规定按时缴纳综合服务费及办公用地租金。</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乙方负责处理</w:t>
      </w:r>
      <w:r>
        <w:rPr>
          <w:rFonts w:hint="eastAsia" w:ascii="仿宋" w:hAnsi="仿宋" w:eastAsia="仿宋" w:cs="仿宋"/>
          <w:color w:val="000000" w:themeColor="text1"/>
          <w:sz w:val="24"/>
          <w:szCs w:val="24"/>
          <w:lang w:eastAsia="zh-CN"/>
          <w14:textFill>
            <w14:solidFill>
              <w14:schemeClr w14:val="tx1"/>
            </w14:solidFill>
          </w14:textFill>
        </w:rPr>
        <w:t>停车场服务项目</w:t>
      </w:r>
      <w:r>
        <w:rPr>
          <w:rFonts w:hint="eastAsia" w:ascii="仿宋" w:hAnsi="仿宋" w:eastAsia="仿宋" w:cs="仿宋"/>
          <w:color w:val="000000" w:themeColor="text1"/>
          <w:sz w:val="24"/>
          <w:szCs w:val="24"/>
          <w14:textFill>
            <w14:solidFill>
              <w14:schemeClr w14:val="tx1"/>
            </w14:solidFill>
          </w14:textFill>
        </w:rPr>
        <w:t>范围内的冲突、纠纷</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并自觉承担由此引起的相应的经济、法律责任。</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乙方服务人员出现失误使患者损伤引起纠纷而导致甲方出现连带责任的，乙方应同等补偿甲方的损失。</w:t>
      </w:r>
    </w:p>
    <w:p>
      <w:pPr>
        <w:numPr>
          <w:ilvl w:val="0"/>
          <w:numId w:val="5"/>
        </w:numPr>
        <w:tabs>
          <w:tab w:val="left" w:pos="0"/>
          <w:tab w:val="left" w:pos="840"/>
        </w:tabs>
        <w:spacing w:line="360" w:lineRule="auto"/>
        <w:ind w:left="-20" w:leftChars="0" w:firstLine="44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因</w:t>
      </w:r>
      <w:r>
        <w:rPr>
          <w:rFonts w:hint="eastAsia" w:ascii="仿宋" w:hAnsi="仿宋" w:eastAsia="仿宋" w:cs="仿宋"/>
          <w:color w:val="000000" w:themeColor="text1"/>
          <w:sz w:val="24"/>
          <w:szCs w:val="24"/>
          <w:highlight w:val="none"/>
          <w14:textFill>
            <w14:solidFill>
              <w14:schemeClr w14:val="tx1"/>
            </w14:solidFill>
          </w14:textFill>
        </w:rPr>
        <w:t>乙方</w:t>
      </w:r>
      <w:r>
        <w:rPr>
          <w:rFonts w:hint="eastAsia" w:ascii="仿宋" w:hAnsi="仿宋" w:eastAsia="仿宋" w:cs="仿宋"/>
          <w:color w:val="000000" w:themeColor="text1"/>
          <w:sz w:val="24"/>
          <w:szCs w:val="24"/>
          <w:highlight w:val="none"/>
          <w:lang w:val="en-US" w:eastAsia="zh-CN"/>
          <w14:textFill>
            <w14:solidFill>
              <w14:schemeClr w14:val="tx1"/>
            </w14:solidFill>
          </w14:textFill>
        </w:rPr>
        <w:t>原因</w:t>
      </w:r>
      <w:r>
        <w:rPr>
          <w:rFonts w:hint="eastAsia" w:ascii="仿宋" w:hAnsi="仿宋" w:eastAsia="仿宋" w:cs="仿宋"/>
          <w:color w:val="000000" w:themeColor="text1"/>
          <w:sz w:val="24"/>
          <w:szCs w:val="24"/>
          <w:highlight w:val="none"/>
          <w14:textFill>
            <w14:solidFill>
              <w14:schemeClr w14:val="tx1"/>
            </w14:solidFill>
          </w14:textFill>
        </w:rPr>
        <w:t>负责</w:t>
      </w:r>
      <w:r>
        <w:rPr>
          <w:rFonts w:hint="eastAsia" w:ascii="仿宋" w:hAnsi="仿宋" w:eastAsia="仿宋" w:cs="仿宋"/>
          <w:color w:val="000000" w:themeColor="text1"/>
          <w:sz w:val="24"/>
          <w:szCs w:val="24"/>
          <w:highlight w:val="none"/>
          <w:lang w:eastAsia="zh-CN"/>
          <w14:textFill>
            <w14:solidFill>
              <w14:schemeClr w14:val="tx1"/>
            </w14:solidFill>
          </w14:textFill>
        </w:rPr>
        <w:t>停车场服务项目</w:t>
      </w:r>
      <w:r>
        <w:rPr>
          <w:rFonts w:hint="eastAsia" w:ascii="仿宋" w:hAnsi="仿宋" w:eastAsia="仿宋" w:cs="仿宋"/>
          <w:color w:val="000000" w:themeColor="text1"/>
          <w:sz w:val="24"/>
          <w:szCs w:val="24"/>
          <w:highlight w:val="none"/>
          <w14:textFill>
            <w14:solidFill>
              <w14:schemeClr w14:val="tx1"/>
            </w14:solidFill>
          </w14:textFill>
        </w:rPr>
        <w:t>范围内的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安全事故，如火灾、爆炸、漏水等，</w:t>
      </w:r>
      <w:r>
        <w:rPr>
          <w:rFonts w:hint="eastAsia" w:ascii="仿宋" w:hAnsi="仿宋" w:eastAsia="仿宋" w:cs="仿宋"/>
          <w:color w:val="000000" w:themeColor="text1"/>
          <w:sz w:val="24"/>
          <w:szCs w:val="24"/>
          <w:highlight w:val="none"/>
          <w14:textFill>
            <w14:solidFill>
              <w14:schemeClr w14:val="tx1"/>
            </w14:solidFill>
          </w14:textFill>
        </w:rPr>
        <w:t>自觉承担由此引起的相应的经济、法律责任</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导致甲方出现连带责任的，乙方应同等补偿甲方的损失。</w:t>
      </w:r>
    </w:p>
    <w:p>
      <w:pPr>
        <w:tabs>
          <w:tab w:val="left" w:pos="7020"/>
          <w:tab w:val="left" w:pos="7380"/>
        </w:tabs>
        <w:spacing w:line="360" w:lineRule="auto"/>
        <w:ind w:right="482"/>
        <w:jc w:val="center"/>
        <w:rPr>
          <w:rFonts w:hint="eastAsia" w:ascii="仿宋" w:hAnsi="仿宋" w:eastAsia="仿宋" w:cs="仿宋"/>
          <w:b/>
          <w:color w:val="000000" w:themeColor="text1"/>
          <w:sz w:val="24"/>
          <w:szCs w:val="24"/>
          <w14:textFill>
            <w14:solidFill>
              <w14:schemeClr w14:val="tx1"/>
            </w14:solidFill>
          </w14:textFill>
        </w:rPr>
      </w:pPr>
    </w:p>
    <w:p>
      <w:pPr>
        <w:tabs>
          <w:tab w:val="left" w:pos="7020"/>
          <w:tab w:val="left" w:pos="7380"/>
        </w:tabs>
        <w:spacing w:line="360" w:lineRule="auto"/>
        <w:ind w:right="482"/>
        <w:jc w:val="center"/>
        <w:rPr>
          <w:rFonts w:hint="eastAsia"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第</w:t>
      </w:r>
      <w:r>
        <w:rPr>
          <w:rFonts w:hint="eastAsia" w:ascii="仿宋" w:hAnsi="仿宋" w:eastAsia="仿宋" w:cs="仿宋"/>
          <w:b/>
          <w:color w:val="000000" w:themeColor="text1"/>
          <w:sz w:val="28"/>
          <w:szCs w:val="24"/>
          <w:lang w:val="en-US" w:eastAsia="zh-CN"/>
          <w14:textFill>
            <w14:solidFill>
              <w14:schemeClr w14:val="tx1"/>
            </w14:solidFill>
          </w14:textFill>
        </w:rPr>
        <w:t>五</w:t>
      </w:r>
      <w:r>
        <w:rPr>
          <w:rFonts w:hint="eastAsia" w:ascii="仿宋" w:hAnsi="仿宋" w:eastAsia="仿宋" w:cs="仿宋"/>
          <w:b/>
          <w:color w:val="000000" w:themeColor="text1"/>
          <w:sz w:val="28"/>
          <w:szCs w:val="24"/>
          <w14:textFill>
            <w14:solidFill>
              <w14:schemeClr w14:val="tx1"/>
            </w14:solidFill>
          </w14:textFill>
        </w:rPr>
        <w:t>章  服务管理质量</w:t>
      </w:r>
    </w:p>
    <w:p>
      <w:pPr>
        <w:tabs>
          <w:tab w:val="left" w:pos="0"/>
          <w:tab w:val="left" w:pos="840"/>
        </w:tabs>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第九条、</w:t>
      </w:r>
      <w:r>
        <w:rPr>
          <w:rFonts w:hint="eastAsia" w:ascii="仿宋" w:hAnsi="仿宋" w:eastAsia="仿宋" w:cs="仿宋"/>
          <w:color w:val="000000" w:themeColor="text1"/>
          <w:sz w:val="24"/>
          <w:szCs w:val="24"/>
          <w14:textFill>
            <w14:solidFill>
              <w14:schemeClr w14:val="tx1"/>
            </w14:solidFill>
          </w14:textFill>
        </w:rPr>
        <w:t>具体的医院</w:t>
      </w:r>
      <w:r>
        <w:rPr>
          <w:rFonts w:hint="eastAsia" w:ascii="仿宋" w:hAnsi="仿宋" w:eastAsia="仿宋" w:cs="仿宋"/>
          <w:color w:val="000000" w:themeColor="text1"/>
          <w:sz w:val="24"/>
          <w:szCs w:val="24"/>
          <w:lang w:eastAsia="zh-CN"/>
          <w14:textFill>
            <w14:solidFill>
              <w14:schemeClr w14:val="tx1"/>
            </w14:solidFill>
          </w14:textFill>
        </w:rPr>
        <w:t>停车场服务项目</w:t>
      </w:r>
      <w:r>
        <w:rPr>
          <w:rFonts w:hint="eastAsia" w:ascii="仿宋" w:hAnsi="仿宋" w:eastAsia="仿宋" w:cs="仿宋"/>
          <w:color w:val="000000" w:themeColor="text1"/>
          <w:sz w:val="24"/>
          <w:szCs w:val="24"/>
          <w14:textFill>
            <w14:solidFill>
              <w14:schemeClr w14:val="tx1"/>
            </w14:solidFill>
          </w14:textFill>
        </w:rPr>
        <w:t>要求见《用户需求书》、相关考核标准以及我院相关管理规定。</w:t>
      </w:r>
    </w:p>
    <w:p>
      <w:pPr>
        <w:spacing w:line="380" w:lineRule="exact"/>
        <w:rPr>
          <w:rFonts w:hint="eastAsia" w:ascii="仿宋" w:hAnsi="仿宋" w:eastAsia="仿宋" w:cs="仿宋"/>
          <w:color w:val="000000" w:themeColor="text1"/>
          <w:sz w:val="22"/>
          <w:szCs w:val="24"/>
          <w14:textFill>
            <w14:solidFill>
              <w14:schemeClr w14:val="tx1"/>
            </w14:solidFill>
          </w14:textFill>
        </w:rPr>
      </w:pPr>
    </w:p>
    <w:p>
      <w:pPr>
        <w:tabs>
          <w:tab w:val="left" w:pos="7020"/>
          <w:tab w:val="left" w:pos="7380"/>
        </w:tabs>
        <w:spacing w:line="360" w:lineRule="auto"/>
        <w:ind w:right="482"/>
        <w:jc w:val="center"/>
        <w:rPr>
          <w:rFonts w:hint="eastAsia"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第</w:t>
      </w:r>
      <w:r>
        <w:rPr>
          <w:rFonts w:hint="eastAsia" w:ascii="仿宋" w:hAnsi="仿宋" w:eastAsia="仿宋" w:cs="仿宋"/>
          <w:b/>
          <w:color w:val="000000" w:themeColor="text1"/>
          <w:sz w:val="28"/>
          <w:szCs w:val="24"/>
          <w:lang w:val="en-US" w:eastAsia="zh-CN"/>
          <w14:textFill>
            <w14:solidFill>
              <w14:schemeClr w14:val="tx1"/>
            </w14:solidFill>
          </w14:textFill>
        </w:rPr>
        <w:t>六</w:t>
      </w:r>
      <w:r>
        <w:rPr>
          <w:rFonts w:hint="eastAsia" w:ascii="仿宋" w:hAnsi="仿宋" w:eastAsia="仿宋" w:cs="仿宋"/>
          <w:b/>
          <w:color w:val="000000" w:themeColor="text1"/>
          <w:sz w:val="28"/>
          <w:szCs w:val="24"/>
          <w14:textFill>
            <w14:solidFill>
              <w14:schemeClr w14:val="tx1"/>
            </w14:solidFill>
          </w14:textFill>
        </w:rPr>
        <w:t>章</w:t>
      </w:r>
      <w:r>
        <w:rPr>
          <w:rFonts w:hint="eastAsia" w:ascii="仿宋" w:hAnsi="仿宋" w:eastAsia="仿宋" w:cs="仿宋"/>
          <w:b/>
          <w:color w:val="000000" w:themeColor="text1"/>
          <w:sz w:val="28"/>
          <w:szCs w:val="24"/>
          <w:lang w:val="en-US" w:eastAsia="zh-CN"/>
          <w14:textFill>
            <w14:solidFill>
              <w14:schemeClr w14:val="tx1"/>
            </w14:solidFill>
          </w14:textFill>
        </w:rPr>
        <w:t xml:space="preserve">  </w:t>
      </w:r>
      <w:r>
        <w:rPr>
          <w:rFonts w:hint="eastAsia" w:ascii="仿宋" w:hAnsi="仿宋" w:eastAsia="仿宋" w:cs="仿宋"/>
          <w:b/>
          <w:color w:val="000000" w:themeColor="text1"/>
          <w:sz w:val="28"/>
          <w:szCs w:val="24"/>
          <w14:textFill>
            <w14:solidFill>
              <w14:schemeClr w14:val="tx1"/>
            </w14:solidFill>
          </w14:textFill>
        </w:rPr>
        <w:t>其它约定</w:t>
      </w:r>
    </w:p>
    <w:p>
      <w:pPr>
        <w:tabs>
          <w:tab w:val="left" w:pos="0"/>
          <w:tab w:val="left" w:pos="840"/>
        </w:tabs>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第十条、</w:t>
      </w:r>
      <w:r>
        <w:rPr>
          <w:rFonts w:hint="eastAsia" w:ascii="仿宋" w:hAnsi="仿宋" w:eastAsia="仿宋" w:cs="仿宋"/>
          <w:color w:val="000000" w:themeColor="text1"/>
          <w:sz w:val="24"/>
          <w:szCs w:val="24"/>
          <w:lang w:eastAsia="zh-CN"/>
          <w14:textFill>
            <w14:solidFill>
              <w14:schemeClr w14:val="tx1"/>
            </w14:solidFill>
          </w14:textFill>
        </w:rPr>
        <w:t>乙方应严格按照国家的法律法规聘用、管理其员工，乙方和其雇佣员工之间发生劳资纠纷导致甲方出现连带责任的，乙方应同等补偿甲方的损失。</w:t>
      </w:r>
    </w:p>
    <w:p>
      <w:pPr>
        <w:tabs>
          <w:tab w:val="left" w:pos="0"/>
          <w:tab w:val="left" w:pos="840"/>
        </w:tabs>
        <w:spacing w:line="360" w:lineRule="auto"/>
        <w:rPr>
          <w:rFonts w:hint="eastAsia"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第十一条、</w:t>
      </w:r>
      <w:r>
        <w:rPr>
          <w:rFonts w:hint="eastAsia" w:ascii="仿宋" w:hAnsi="仿宋" w:eastAsia="仿宋" w:cs="仿宋"/>
          <w:color w:val="000000" w:themeColor="text1"/>
          <w:sz w:val="24"/>
          <w:szCs w:val="24"/>
          <w:lang w:eastAsia="zh-CN"/>
          <w14:textFill>
            <w14:solidFill>
              <w14:schemeClr w14:val="tx1"/>
            </w14:solidFill>
          </w14:textFill>
        </w:rPr>
        <w:t>乙方对所录用人员要严格审查，保证录用人员没有刑事犯罪记录、有符合国家规定的上岗资格证，重要岗位人员聘用要经甲方审定。</w:t>
      </w: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第十二条、</w:t>
      </w:r>
      <w:r>
        <w:rPr>
          <w:rFonts w:hint="eastAsia" w:ascii="仿宋" w:hAnsi="仿宋" w:eastAsia="仿宋" w:cs="仿宋"/>
          <w:color w:val="000000" w:themeColor="text1"/>
          <w:sz w:val="24"/>
          <w:szCs w:val="24"/>
          <w:lang w:eastAsia="zh-CN"/>
          <w14:textFill>
            <w14:solidFill>
              <w14:schemeClr w14:val="tx1"/>
            </w14:solidFill>
          </w14:textFill>
        </w:rPr>
        <w:t>乙方在本合同项目下聘用的从业人员，在同等条件下，应优先聘用甲方推荐的从业人员，人员归乙方负责聘用和管理，由甲方推荐的从业人员如果不能胜任乙方安排的对口工作，乙方有权不予聘用。</w:t>
      </w: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第十三条、</w:t>
      </w:r>
      <w:r>
        <w:rPr>
          <w:rFonts w:hint="eastAsia" w:ascii="仿宋" w:hAnsi="仿宋" w:eastAsia="仿宋" w:cs="仿宋"/>
          <w:color w:val="000000" w:themeColor="text1"/>
          <w:sz w:val="24"/>
          <w:szCs w:val="24"/>
          <w:lang w:eastAsia="zh-CN"/>
          <w14:textFill>
            <w14:solidFill>
              <w14:schemeClr w14:val="tx1"/>
            </w14:solidFill>
          </w14:textFill>
        </w:rPr>
        <w:t>如有需要，乙方的管理服务人员要听从甲方调动指挥。乙方在服务区内服务方案需经甲方审核批准，并根据需要无条件调整服务内容。</w:t>
      </w:r>
    </w:p>
    <w:p>
      <w:pPr>
        <w:spacing w:line="380" w:lineRule="exact"/>
        <w:rPr>
          <w:rFonts w:hint="eastAsia" w:ascii="仿宋" w:hAnsi="仿宋" w:eastAsia="仿宋" w:cs="仿宋"/>
          <w:color w:val="000000" w:themeColor="text1"/>
          <w:sz w:val="22"/>
          <w:szCs w:val="24"/>
          <w14:textFill>
            <w14:solidFill>
              <w14:schemeClr w14:val="tx1"/>
            </w14:solidFill>
          </w14:textFill>
        </w:rPr>
      </w:pPr>
    </w:p>
    <w:p>
      <w:pPr>
        <w:tabs>
          <w:tab w:val="left" w:pos="7020"/>
          <w:tab w:val="left" w:pos="7380"/>
        </w:tabs>
        <w:spacing w:line="360" w:lineRule="auto"/>
        <w:ind w:right="482"/>
        <w:jc w:val="center"/>
        <w:rPr>
          <w:rFonts w:hint="eastAsia" w:ascii="仿宋" w:hAnsi="仿宋" w:eastAsia="仿宋" w:cs="仿宋"/>
          <w:b/>
          <w:color w:val="000000" w:themeColor="text1"/>
          <w:sz w:val="28"/>
          <w:szCs w:val="24"/>
          <w14:textFill>
            <w14:solidFill>
              <w14:schemeClr w14:val="tx1"/>
            </w14:solidFill>
          </w14:textFill>
        </w:rPr>
      </w:pPr>
      <w:r>
        <w:rPr>
          <w:rFonts w:hint="eastAsia" w:ascii="仿宋" w:hAnsi="仿宋" w:eastAsia="仿宋" w:cs="仿宋"/>
          <w:b/>
          <w:color w:val="000000" w:themeColor="text1"/>
          <w:sz w:val="28"/>
          <w:szCs w:val="24"/>
          <w14:textFill>
            <w14:solidFill>
              <w14:schemeClr w14:val="tx1"/>
            </w14:solidFill>
          </w14:textFill>
        </w:rPr>
        <w:t>第</w:t>
      </w:r>
      <w:r>
        <w:rPr>
          <w:rFonts w:hint="eastAsia" w:ascii="仿宋" w:hAnsi="仿宋" w:eastAsia="仿宋" w:cs="仿宋"/>
          <w:b/>
          <w:color w:val="000000" w:themeColor="text1"/>
          <w:sz w:val="28"/>
          <w:szCs w:val="24"/>
          <w:lang w:val="en-US" w:eastAsia="zh-CN"/>
          <w14:textFill>
            <w14:solidFill>
              <w14:schemeClr w14:val="tx1"/>
            </w14:solidFill>
          </w14:textFill>
        </w:rPr>
        <w:t>七</w:t>
      </w:r>
      <w:r>
        <w:rPr>
          <w:rFonts w:hint="eastAsia" w:ascii="仿宋" w:hAnsi="仿宋" w:eastAsia="仿宋" w:cs="仿宋"/>
          <w:b/>
          <w:color w:val="000000" w:themeColor="text1"/>
          <w:sz w:val="28"/>
          <w:szCs w:val="24"/>
          <w14:textFill>
            <w14:solidFill>
              <w14:schemeClr w14:val="tx1"/>
            </w14:solidFill>
          </w14:textFill>
        </w:rPr>
        <w:t>章</w:t>
      </w:r>
      <w:r>
        <w:rPr>
          <w:rFonts w:hint="eastAsia" w:ascii="仿宋" w:hAnsi="仿宋" w:eastAsia="仿宋" w:cs="仿宋"/>
          <w:b/>
          <w:color w:val="000000" w:themeColor="text1"/>
          <w:sz w:val="28"/>
          <w:szCs w:val="24"/>
          <w:lang w:val="en-US" w:eastAsia="zh-CN"/>
          <w14:textFill>
            <w14:solidFill>
              <w14:schemeClr w14:val="tx1"/>
            </w14:solidFill>
          </w14:textFill>
        </w:rPr>
        <w:t xml:space="preserve">  </w:t>
      </w:r>
      <w:r>
        <w:rPr>
          <w:rFonts w:hint="eastAsia" w:ascii="仿宋" w:hAnsi="仿宋" w:eastAsia="仿宋" w:cs="仿宋"/>
          <w:b/>
          <w:color w:val="000000" w:themeColor="text1"/>
          <w:sz w:val="28"/>
          <w:szCs w:val="24"/>
          <w14:textFill>
            <w14:solidFill>
              <w14:schemeClr w14:val="tx1"/>
            </w14:solidFill>
          </w14:textFill>
        </w:rPr>
        <w:t>违约责任</w:t>
      </w: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第十四条、</w:t>
      </w:r>
      <w:r>
        <w:rPr>
          <w:rFonts w:hint="eastAsia" w:ascii="仿宋" w:hAnsi="仿宋" w:eastAsia="仿宋" w:cs="仿宋"/>
          <w:color w:val="000000" w:themeColor="text1"/>
          <w:sz w:val="24"/>
          <w:szCs w:val="24"/>
          <w:lang w:eastAsia="zh-CN"/>
          <w14:textFill>
            <w14:solidFill>
              <w14:schemeClr w14:val="tx1"/>
            </w14:solidFill>
          </w14:textFill>
        </w:rPr>
        <w:t>甲方违反合同约定，使乙方未完成规定管理目标，乙方有权要求甲方在一定期限内解决，逾期未解决的，乙方有权终止合同；造成乙方经济损失的，甲方应给予乙方经济赔偿，并承担相应的法律责任。</w:t>
      </w: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第十五条、</w:t>
      </w:r>
      <w:r>
        <w:rPr>
          <w:rFonts w:hint="eastAsia" w:ascii="仿宋" w:hAnsi="仿宋" w:eastAsia="仿宋" w:cs="仿宋"/>
          <w:color w:val="000000" w:themeColor="text1"/>
          <w:sz w:val="24"/>
          <w:szCs w:val="24"/>
          <w:lang w:eastAsia="zh-CN"/>
          <w14:textFill>
            <w14:solidFill>
              <w14:schemeClr w14:val="tx1"/>
            </w14:solidFill>
          </w14:textFill>
        </w:rPr>
        <w:t>乙方违反本合同要求的规定，未能达到约定的管理目标，使用人投诉多或出现重大管理失误，甲方有权要求终止合同；造成甲方经济损失的，乙方应给予甲方经济赔偿，并承担相应的法律责任。</w:t>
      </w: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第十六条、</w:t>
      </w:r>
      <w:r>
        <w:rPr>
          <w:rFonts w:hint="eastAsia" w:ascii="仿宋" w:hAnsi="仿宋" w:eastAsia="仿宋" w:cs="仿宋"/>
          <w:color w:val="000000" w:themeColor="text1"/>
          <w:sz w:val="24"/>
          <w:szCs w:val="24"/>
          <w:lang w:eastAsia="zh-CN"/>
          <w14:textFill>
            <w14:solidFill>
              <w14:schemeClr w14:val="tx1"/>
            </w14:solidFill>
          </w14:textFill>
        </w:rPr>
        <w:t>如果乙方发生</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次或以上违反招标文件中列明质量考核检查标准的事件，属于对本协议中的违约行为，甲方有权要求终止合同。</w:t>
      </w:r>
    </w:p>
    <w:p>
      <w:pPr>
        <w:tabs>
          <w:tab w:val="left" w:pos="0"/>
          <w:tab w:val="left" w:pos="840"/>
        </w:tabs>
        <w:spacing w:line="360" w:lineRule="auto"/>
        <w:rPr>
          <w:rFonts w:hint="eastAsia"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第十七条、</w:t>
      </w:r>
      <w:r>
        <w:rPr>
          <w:rFonts w:hint="eastAsia" w:ascii="仿宋" w:hAnsi="仿宋" w:eastAsia="仿宋" w:cs="仿宋"/>
          <w:color w:val="000000" w:themeColor="text1"/>
          <w:sz w:val="24"/>
          <w:szCs w:val="24"/>
          <w:lang w:eastAsia="zh-CN"/>
          <w14:textFill>
            <w14:solidFill>
              <w14:schemeClr w14:val="tx1"/>
            </w14:solidFill>
          </w14:textFill>
        </w:rPr>
        <w:t>服务期限内，如有违反合同条约，则从保证金中扣罚。履约保证金在本合同终止日后30天退还。</w:t>
      </w: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第十八条、</w:t>
      </w:r>
      <w:r>
        <w:rPr>
          <w:rFonts w:hint="eastAsia" w:ascii="仿宋" w:hAnsi="仿宋" w:eastAsia="仿宋" w:cs="仿宋"/>
          <w:color w:val="000000" w:themeColor="text1"/>
          <w:sz w:val="24"/>
          <w:szCs w:val="24"/>
          <w:lang w:eastAsia="zh-CN"/>
          <w14:textFill>
            <w14:solidFill>
              <w14:schemeClr w14:val="tx1"/>
            </w14:solidFill>
          </w14:textFill>
        </w:rPr>
        <w:t>合同期满或合同期间终止合同时，乙方仍需规范提供服务至新公司入场，并按我院要求做好交接工作。如因乙方问题未按我院要求与新公司进行交接工作或拒绝交接，属于违约行为，则扣罚履约保证金，同时由此引起的一切责任及经济损失由乙方负责。</w:t>
      </w:r>
    </w:p>
    <w:p>
      <w:pPr>
        <w:spacing w:line="360" w:lineRule="auto"/>
        <w:jc w:val="center"/>
        <w:rPr>
          <w:rFonts w:hint="eastAsia" w:ascii="仿宋" w:hAnsi="仿宋" w:eastAsia="仿宋" w:cs="仿宋"/>
          <w:b/>
          <w:color w:val="000000" w:themeColor="text1"/>
          <w:sz w:val="22"/>
          <w:szCs w:val="24"/>
          <w14:textFill>
            <w14:solidFill>
              <w14:schemeClr w14:val="tx1"/>
            </w14:solidFill>
          </w14:textFill>
        </w:rPr>
      </w:pPr>
    </w:p>
    <w:p>
      <w:pPr>
        <w:tabs>
          <w:tab w:val="left" w:pos="7020"/>
          <w:tab w:val="left" w:pos="7380"/>
        </w:tabs>
        <w:spacing w:line="360" w:lineRule="auto"/>
        <w:ind w:right="482"/>
        <w:jc w:val="center"/>
        <w:rPr>
          <w:rFonts w:hint="eastAsia" w:ascii="仿宋" w:hAnsi="仿宋" w:eastAsia="仿宋" w:cs="仿宋"/>
          <w:b/>
          <w:color w:val="000000" w:themeColor="text1"/>
          <w:sz w:val="28"/>
          <w:szCs w:val="24"/>
          <w:lang w:val="en-US" w:eastAsia="zh-CN"/>
          <w14:textFill>
            <w14:solidFill>
              <w14:schemeClr w14:val="tx1"/>
            </w14:solidFill>
          </w14:textFill>
        </w:rPr>
      </w:pPr>
      <w:r>
        <w:rPr>
          <w:rFonts w:hint="eastAsia" w:ascii="仿宋" w:hAnsi="仿宋" w:eastAsia="仿宋" w:cs="仿宋"/>
          <w:b/>
          <w:color w:val="000000" w:themeColor="text1"/>
          <w:sz w:val="28"/>
          <w:szCs w:val="24"/>
          <w:lang w:val="en-US" w:eastAsia="zh-CN"/>
          <w14:textFill>
            <w14:solidFill>
              <w14:schemeClr w14:val="tx1"/>
            </w14:solidFill>
          </w14:textFill>
        </w:rPr>
        <w:t>第八章  附则</w:t>
      </w:r>
    </w:p>
    <w:p>
      <w:pPr>
        <w:tabs>
          <w:tab w:val="left" w:pos="0"/>
          <w:tab w:val="left" w:pos="840"/>
        </w:tabs>
        <w:spacing w:line="360" w:lineRule="auto"/>
        <w:rPr>
          <w:rFonts w:hint="eastAsia"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第十九条、</w:t>
      </w:r>
      <w:r>
        <w:rPr>
          <w:rFonts w:hint="eastAsia" w:ascii="仿宋" w:hAnsi="仿宋" w:eastAsia="仿宋" w:cs="仿宋"/>
          <w:color w:val="000000" w:themeColor="text1"/>
          <w:sz w:val="24"/>
          <w:szCs w:val="24"/>
          <w:lang w:eastAsia="zh-CN"/>
          <w14:textFill>
            <w14:solidFill>
              <w14:schemeClr w14:val="tx1"/>
            </w14:solidFill>
          </w14:textFill>
        </w:rPr>
        <w:t>甲、乙双方可对本合同的条款进行补充，以书面形式签订补充协议，补充协议与本合同具有同等效力。</w:t>
      </w: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第二十条、</w:t>
      </w:r>
      <w:r>
        <w:rPr>
          <w:rFonts w:hint="eastAsia" w:ascii="仿宋" w:hAnsi="仿宋" w:eastAsia="仿宋" w:cs="仿宋"/>
          <w:color w:val="000000" w:themeColor="text1"/>
          <w:sz w:val="24"/>
          <w:szCs w:val="24"/>
          <w:lang w:eastAsia="zh-CN"/>
          <w14:textFill>
            <w14:solidFill>
              <w14:schemeClr w14:val="tx1"/>
            </w14:solidFill>
          </w14:textFill>
        </w:rPr>
        <w:t>本合同执行期间，如遇不可抗力，致使合同无法履行时，双方应按有关法律规定及时协商处理。</w:t>
      </w:r>
    </w:p>
    <w:p>
      <w:pPr>
        <w:tabs>
          <w:tab w:val="left" w:pos="0"/>
          <w:tab w:val="left" w:pos="840"/>
        </w:tabs>
        <w:spacing w:line="360" w:lineRule="auto"/>
        <w:rPr>
          <w:rFonts w:hint="eastAsia"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第二十一条、</w:t>
      </w:r>
      <w:r>
        <w:rPr>
          <w:rFonts w:hint="eastAsia" w:ascii="仿宋" w:hAnsi="仿宋" w:eastAsia="仿宋" w:cs="仿宋"/>
          <w:color w:val="000000" w:themeColor="text1"/>
          <w:sz w:val="24"/>
          <w:szCs w:val="24"/>
          <w:lang w:eastAsia="zh-CN"/>
          <w14:textFill>
            <w14:solidFill>
              <w14:schemeClr w14:val="tx1"/>
            </w14:solidFill>
          </w14:textFill>
        </w:rPr>
        <w:t>本合同在履行中如发生争议，由双方当事人协商解决，协商不成的，依法向合同履行地人民法院起诉。</w:t>
      </w:r>
    </w:p>
    <w:p>
      <w:pPr>
        <w:tabs>
          <w:tab w:val="left" w:pos="0"/>
          <w:tab w:val="left" w:pos="840"/>
        </w:tabs>
        <w:spacing w:line="360" w:lineRule="auto"/>
        <w:rPr>
          <w:rFonts w:hint="eastAsia"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第二十二条、</w:t>
      </w:r>
      <w:r>
        <w:rPr>
          <w:rFonts w:hint="eastAsia" w:ascii="仿宋" w:hAnsi="仿宋" w:eastAsia="仿宋" w:cs="仿宋"/>
          <w:color w:val="000000" w:themeColor="text1"/>
          <w:sz w:val="24"/>
          <w:szCs w:val="24"/>
          <w:lang w:eastAsia="zh-CN"/>
          <w14:textFill>
            <w14:solidFill>
              <w14:schemeClr w14:val="tx1"/>
            </w14:solidFill>
          </w14:textFill>
        </w:rPr>
        <w:t>本合同所有附件及本项目的招标文件、乙方的参选文件、会议纪要、协议等均为本合同不可分割之一部分。</w:t>
      </w:r>
    </w:p>
    <w:p>
      <w:pPr>
        <w:tabs>
          <w:tab w:val="left" w:pos="0"/>
          <w:tab w:val="left" w:pos="840"/>
        </w:tabs>
        <w:spacing w:line="360" w:lineRule="auto"/>
        <w:rPr>
          <w:rFonts w:hint="eastAsia" w:ascii="仿宋" w:hAnsi="仿宋" w:eastAsia="仿宋" w:cs="仿宋"/>
          <w:color w:val="000000" w:themeColor="text1"/>
          <w:sz w:val="22"/>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第二十三条、</w:t>
      </w:r>
      <w:r>
        <w:rPr>
          <w:rFonts w:hint="eastAsia" w:ascii="仿宋" w:hAnsi="仿宋" w:eastAsia="仿宋" w:cs="仿宋"/>
          <w:color w:val="000000" w:themeColor="text1"/>
          <w:sz w:val="24"/>
          <w:szCs w:val="24"/>
          <w:lang w:eastAsia="zh-CN"/>
          <w14:textFill>
            <w14:solidFill>
              <w14:schemeClr w14:val="tx1"/>
            </w14:solidFill>
          </w14:textFill>
        </w:rPr>
        <w:t>本合同壹式陆份，均具有同等法律效力，甲方执正本</w:t>
      </w:r>
      <w:r>
        <w:rPr>
          <w:rFonts w:hint="eastAsia" w:ascii="仿宋" w:hAnsi="仿宋" w:eastAsia="仿宋" w:cs="仿宋"/>
          <w:color w:val="000000" w:themeColor="text1"/>
          <w:sz w:val="24"/>
          <w:szCs w:val="24"/>
          <w:lang w:val="en-US" w:eastAsia="zh-CN"/>
          <w14:textFill>
            <w14:solidFill>
              <w14:schemeClr w14:val="tx1"/>
            </w14:solidFill>
          </w14:textFill>
        </w:rPr>
        <w:t>肆</w:t>
      </w:r>
      <w:r>
        <w:rPr>
          <w:rFonts w:hint="eastAsia" w:ascii="仿宋" w:hAnsi="仿宋" w:eastAsia="仿宋" w:cs="仿宋"/>
          <w:color w:val="000000" w:themeColor="text1"/>
          <w:sz w:val="24"/>
          <w:szCs w:val="24"/>
          <w:lang w:eastAsia="zh-CN"/>
          <w14:textFill>
            <w14:solidFill>
              <w14:schemeClr w14:val="tx1"/>
            </w14:solidFill>
          </w14:textFill>
        </w:rPr>
        <w:t>份、乙方执</w:t>
      </w:r>
      <w:r>
        <w:rPr>
          <w:rFonts w:hint="eastAsia" w:ascii="仿宋" w:hAnsi="仿宋" w:eastAsia="仿宋" w:cs="仿宋"/>
          <w:color w:val="000000" w:themeColor="text1"/>
          <w:sz w:val="24"/>
          <w:szCs w:val="24"/>
          <w:lang w:val="en-US" w:eastAsia="zh-CN"/>
          <w14:textFill>
            <w14:solidFill>
              <w14:schemeClr w14:val="tx1"/>
            </w14:solidFill>
          </w14:textFill>
        </w:rPr>
        <w:t>贰</w:t>
      </w:r>
      <w:r>
        <w:rPr>
          <w:rFonts w:hint="eastAsia" w:ascii="仿宋" w:hAnsi="仿宋" w:eastAsia="仿宋" w:cs="仿宋"/>
          <w:color w:val="000000" w:themeColor="text1"/>
          <w:sz w:val="24"/>
          <w:szCs w:val="24"/>
          <w:lang w:eastAsia="zh-CN"/>
          <w14:textFill>
            <w14:solidFill>
              <w14:schemeClr w14:val="tx1"/>
            </w14:solidFill>
          </w14:textFill>
        </w:rPr>
        <w:t>份，自甲乙双方</w:t>
      </w:r>
      <w:r>
        <w:rPr>
          <w:rFonts w:hint="eastAsia" w:ascii="仿宋" w:hAnsi="仿宋" w:eastAsia="仿宋" w:cs="仿宋"/>
          <w:color w:val="000000" w:themeColor="text1"/>
          <w:sz w:val="24"/>
          <w:szCs w:val="24"/>
          <w:lang w:val="en-US" w:eastAsia="zh-CN"/>
          <w14:textFill>
            <w14:solidFill>
              <w14:schemeClr w14:val="tx1"/>
            </w14:solidFill>
          </w14:textFill>
        </w:rPr>
        <w:t>法定代表人</w:t>
      </w:r>
      <w:r>
        <w:rPr>
          <w:rFonts w:hint="eastAsia" w:ascii="仿宋" w:hAnsi="仿宋" w:eastAsia="仿宋" w:cs="仿宋"/>
          <w:color w:val="000000" w:themeColor="text1"/>
          <w:sz w:val="24"/>
          <w:szCs w:val="24"/>
          <w:lang w:eastAsia="zh-CN"/>
          <w14:textFill>
            <w14:solidFill>
              <w14:schemeClr w14:val="tx1"/>
            </w14:solidFill>
          </w14:textFill>
        </w:rPr>
        <w:t>签字盖章后</w:t>
      </w:r>
      <w:r>
        <w:rPr>
          <w:rFonts w:hint="eastAsia" w:ascii="仿宋" w:hAnsi="仿宋" w:eastAsia="仿宋" w:cs="仿宋"/>
          <w:color w:val="000000" w:themeColor="text1"/>
          <w:sz w:val="24"/>
          <w:szCs w:val="24"/>
          <w:lang w:val="en-US" w:eastAsia="zh-CN"/>
          <w14:textFill>
            <w14:solidFill>
              <w14:schemeClr w14:val="tx1"/>
            </w14:solidFill>
          </w14:textFill>
        </w:rPr>
        <w:t>正式</w:t>
      </w:r>
      <w:r>
        <w:rPr>
          <w:rFonts w:hint="eastAsia" w:ascii="仿宋" w:hAnsi="仿宋" w:eastAsia="仿宋" w:cs="仿宋"/>
          <w:color w:val="000000" w:themeColor="text1"/>
          <w:sz w:val="24"/>
          <w:szCs w:val="24"/>
          <w:lang w:eastAsia="zh-CN"/>
          <w14:textFill>
            <w14:solidFill>
              <w14:schemeClr w14:val="tx1"/>
            </w14:solidFill>
          </w14:textFill>
        </w:rPr>
        <w:t>生效。</w:t>
      </w: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第二十四条、</w:t>
      </w:r>
      <w:r>
        <w:rPr>
          <w:rFonts w:hint="eastAsia" w:ascii="仿宋" w:hAnsi="仿宋" w:eastAsia="仿宋" w:cs="仿宋"/>
          <w:color w:val="000000" w:themeColor="text1"/>
          <w:sz w:val="24"/>
          <w:szCs w:val="24"/>
          <w:lang w:eastAsia="zh-CN"/>
          <w14:textFill>
            <w14:solidFill>
              <w14:schemeClr w14:val="tx1"/>
            </w14:solidFill>
          </w14:textFill>
        </w:rPr>
        <w:t>以下组成本合同的文件是一个合同整体：</w:t>
      </w:r>
    </w:p>
    <w:p>
      <w:pPr>
        <w:tabs>
          <w:tab w:val="left" w:pos="0"/>
          <w:tab w:val="left" w:pos="840"/>
        </w:tabs>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1、本合同协议书</w:t>
      </w:r>
    </w:p>
    <w:p>
      <w:pPr>
        <w:tabs>
          <w:tab w:val="left" w:pos="0"/>
          <w:tab w:val="left" w:pos="840"/>
        </w:tabs>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2、《深汕中心医院停车场外包需求方案》</w:t>
      </w:r>
    </w:p>
    <w:p>
      <w:pPr>
        <w:tabs>
          <w:tab w:val="left" w:pos="0"/>
          <w:tab w:val="left" w:pos="840"/>
        </w:tabs>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3、《中山大学孙逸仙纪念医院深汕中心医院停车场管理服务质量考核表》</w:t>
      </w:r>
    </w:p>
    <w:p>
      <w:pPr>
        <w:tabs>
          <w:tab w:val="left" w:pos="0"/>
          <w:tab w:val="left" w:pos="840"/>
        </w:tabs>
        <w:spacing w:line="360" w:lineRule="auto"/>
        <w:rPr>
          <w:rFonts w:hint="eastAsia" w:ascii="仿宋" w:hAnsi="仿宋" w:eastAsia="仿宋" w:cs="仿宋"/>
          <w:color w:val="000000" w:themeColor="text1"/>
          <w:sz w:val="22"/>
          <w:szCs w:val="24"/>
          <w14:textFill>
            <w14:solidFill>
              <w14:schemeClr w14:val="tx1"/>
            </w14:solidFill>
          </w14:textFill>
        </w:rPr>
      </w:pP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甲方签章：</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乙方签章：</w:t>
      </w: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法定</w:t>
      </w:r>
      <w:r>
        <w:rPr>
          <w:rFonts w:hint="eastAsia" w:ascii="仿宋" w:hAnsi="仿宋" w:eastAsia="仿宋" w:cs="仿宋"/>
          <w:color w:val="000000" w:themeColor="text1"/>
          <w:sz w:val="24"/>
          <w:szCs w:val="24"/>
          <w:lang w:eastAsia="zh-CN"/>
          <w14:textFill>
            <w14:solidFill>
              <w14:schemeClr w14:val="tx1"/>
            </w14:solidFill>
          </w14:textFill>
        </w:rPr>
        <w:t>代表人：</w:t>
      </w:r>
      <w:r>
        <w:rPr>
          <w:rFonts w:hint="eastAsia" w:ascii="仿宋" w:hAnsi="仿宋" w:eastAsia="仿宋" w:cs="仿宋"/>
          <w:color w:val="000000" w:themeColor="text1"/>
          <w:sz w:val="24"/>
          <w:szCs w:val="24"/>
          <w:lang w:val="en-US" w:eastAsia="zh-CN"/>
          <w14:textFill>
            <w14:solidFill>
              <w14:schemeClr w14:val="tx1"/>
            </w14:solidFill>
          </w14:textFill>
        </w:rPr>
        <w:t xml:space="preserve">                              法定</w:t>
      </w:r>
      <w:r>
        <w:rPr>
          <w:rFonts w:hint="eastAsia" w:ascii="仿宋" w:hAnsi="仿宋" w:eastAsia="仿宋" w:cs="仿宋"/>
          <w:color w:val="000000" w:themeColor="text1"/>
          <w:sz w:val="24"/>
          <w:szCs w:val="24"/>
          <w:lang w:eastAsia="zh-CN"/>
          <w14:textFill>
            <w14:solidFill>
              <w14:schemeClr w14:val="tx1"/>
            </w14:solidFill>
          </w14:textFill>
        </w:rPr>
        <w:t>代表人：</w:t>
      </w: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p>
    <w:p>
      <w:pPr>
        <w:tabs>
          <w:tab w:val="left" w:pos="0"/>
          <w:tab w:val="left" w:pos="840"/>
        </w:tabs>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签约代表：                                 签约代表：</w:t>
      </w:r>
    </w:p>
    <w:p>
      <w:pPr>
        <w:tabs>
          <w:tab w:val="left" w:pos="0"/>
          <w:tab w:val="left" w:pos="840"/>
        </w:tabs>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p>
    <w:p>
      <w:pPr>
        <w:tabs>
          <w:tab w:val="left" w:pos="0"/>
          <w:tab w:val="left" w:pos="840"/>
        </w:tabs>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日期：</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日期：</w:t>
      </w: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p>
    <w:p>
      <w:pPr>
        <w:widowControl/>
        <w:spacing w:line="360" w:lineRule="exact"/>
        <w:jc w:val="left"/>
        <w:rPr>
          <w:rFonts w:hint="eastAsia" w:ascii="仿宋" w:hAnsi="仿宋" w:eastAsia="仿宋" w:cs="Arial Unicode MS"/>
          <w:kern w:val="0"/>
          <w:szCs w:val="21"/>
        </w:rPr>
      </w:pPr>
      <w:r>
        <w:rPr>
          <w:rFonts w:hint="eastAsia" w:ascii="仿宋" w:hAnsi="仿宋" w:eastAsia="仿宋" w:cs="Arial Unicode MS"/>
          <w:b/>
          <w:bCs/>
          <w:kern w:val="0"/>
          <w:sz w:val="24"/>
          <w:szCs w:val="24"/>
        </w:rPr>
        <w:t>附件</w:t>
      </w:r>
      <w:r>
        <w:rPr>
          <w:rFonts w:hint="eastAsia" w:ascii="仿宋" w:hAnsi="仿宋" w:eastAsia="仿宋" w:cs="Arial Unicode MS"/>
          <w:b/>
          <w:bCs/>
          <w:kern w:val="0"/>
          <w:sz w:val="24"/>
          <w:szCs w:val="24"/>
          <w:lang w:val="en-US" w:eastAsia="zh-CN"/>
        </w:rPr>
        <w:t>1</w:t>
      </w:r>
      <w:r>
        <w:rPr>
          <w:rFonts w:hint="eastAsia" w:ascii="仿宋" w:hAnsi="仿宋" w:eastAsia="仿宋" w:cs="Arial Unicode MS"/>
          <w:b/>
          <w:bCs/>
          <w:kern w:val="0"/>
          <w:sz w:val="24"/>
          <w:szCs w:val="24"/>
        </w:rPr>
        <w:t>：</w:t>
      </w:r>
      <w:r>
        <w:rPr>
          <w:rFonts w:hint="eastAsia" w:ascii="仿宋" w:hAnsi="仿宋" w:eastAsia="仿宋" w:cs="Arial Unicode MS"/>
          <w:b/>
          <w:bCs/>
          <w:kern w:val="0"/>
          <w:sz w:val="24"/>
          <w:szCs w:val="24"/>
          <w:lang w:eastAsia="zh-CN"/>
        </w:rPr>
        <w:t>《</w:t>
      </w:r>
      <w:r>
        <w:rPr>
          <w:rFonts w:hint="eastAsia" w:ascii="仿宋" w:hAnsi="仿宋" w:eastAsia="仿宋" w:cs="Arial Unicode MS"/>
          <w:b/>
          <w:bCs/>
          <w:kern w:val="0"/>
          <w:sz w:val="24"/>
          <w:szCs w:val="24"/>
        </w:rPr>
        <w:t>深汕中心医院停车场外包需求方案</w:t>
      </w:r>
      <w:r>
        <w:rPr>
          <w:rFonts w:hint="eastAsia" w:ascii="仿宋" w:hAnsi="仿宋" w:eastAsia="仿宋" w:cs="Arial Unicode MS"/>
          <w:b/>
          <w:bCs/>
          <w:kern w:val="0"/>
          <w:sz w:val="24"/>
          <w:szCs w:val="24"/>
          <w:lang w:eastAsia="zh-CN"/>
        </w:rPr>
        <w:t>》</w:t>
      </w:r>
    </w:p>
    <w:p>
      <w:pPr>
        <w:numPr>
          <w:ilvl w:val="0"/>
          <w:numId w:val="6"/>
        </w:numPr>
        <w:spacing w:line="480" w:lineRule="auto"/>
        <w:jc w:val="left"/>
        <w:outlineLvl w:val="0"/>
        <w:rPr>
          <w:rFonts w:ascii="仿宋" w:hAnsi="仿宋" w:eastAsia="仿宋" w:cs="宋体"/>
          <w:b/>
          <w:szCs w:val="21"/>
        </w:rPr>
      </w:pPr>
      <w:bookmarkStart w:id="0" w:name="_Toc98150582"/>
      <w:bookmarkStart w:id="1" w:name="_Toc548"/>
      <w:bookmarkStart w:id="2" w:name="_Toc8248"/>
      <w:r>
        <w:rPr>
          <w:rFonts w:hint="eastAsia" w:ascii="仿宋" w:hAnsi="仿宋" w:eastAsia="仿宋" w:cs="宋体"/>
          <w:b/>
          <w:szCs w:val="21"/>
        </w:rPr>
        <w:t>管理目标</w:t>
      </w:r>
      <w:bookmarkEnd w:id="0"/>
      <w:bookmarkEnd w:id="1"/>
      <w:bookmarkEnd w:id="2"/>
    </w:p>
    <w:p>
      <w:pPr>
        <w:spacing w:line="360" w:lineRule="auto"/>
        <w:ind w:firstLine="420" w:firstLineChars="200"/>
        <w:rPr>
          <w:rFonts w:ascii="仿宋" w:hAnsi="仿宋" w:eastAsia="仿宋" w:cs="宋体"/>
          <w:b/>
          <w:szCs w:val="21"/>
        </w:rPr>
      </w:pPr>
      <w:r>
        <w:rPr>
          <w:rFonts w:hint="eastAsia" w:ascii="仿宋" w:hAnsi="仿宋" w:eastAsia="仿宋" w:cs="宋体"/>
          <w:szCs w:val="21"/>
        </w:rPr>
        <w:t>制定停车场管理规定，完善停车场的安全措施，保障车辆停放安全，交通畅顺，出入有序，确保车场设施设备运转正常，打造汕尾市首个智能化医院停车场。</w:t>
      </w:r>
    </w:p>
    <w:p>
      <w:pPr>
        <w:numPr>
          <w:ilvl w:val="0"/>
          <w:numId w:val="6"/>
        </w:numPr>
        <w:spacing w:line="480" w:lineRule="auto"/>
        <w:jc w:val="left"/>
        <w:outlineLvl w:val="0"/>
        <w:rPr>
          <w:rFonts w:ascii="仿宋" w:hAnsi="仿宋" w:eastAsia="仿宋" w:cs="宋体"/>
          <w:b/>
          <w:szCs w:val="21"/>
        </w:rPr>
      </w:pPr>
      <w:r>
        <w:rPr>
          <w:rFonts w:hint="eastAsia" w:ascii="仿宋" w:hAnsi="仿宋" w:eastAsia="仿宋" w:cs="宋体"/>
          <w:b/>
          <w:szCs w:val="21"/>
        </w:rPr>
        <w:t>运营</w:t>
      </w:r>
      <w:r>
        <w:rPr>
          <w:rFonts w:ascii="仿宋" w:hAnsi="仿宋" w:eastAsia="仿宋" w:cs="宋体"/>
          <w:b/>
          <w:szCs w:val="21"/>
        </w:rPr>
        <w:t>合作细则</w:t>
      </w:r>
    </w:p>
    <w:p>
      <w:pPr>
        <w:numPr>
          <w:ilvl w:val="0"/>
          <w:numId w:val="7"/>
        </w:numPr>
        <w:spacing w:line="360" w:lineRule="auto"/>
        <w:ind w:left="-420"/>
        <w:rPr>
          <w:rFonts w:ascii="仿宋" w:hAnsi="仿宋" w:eastAsia="仿宋" w:cs="宋体"/>
          <w:szCs w:val="21"/>
        </w:rPr>
      </w:pPr>
      <w:r>
        <w:rPr>
          <w:rFonts w:hint="eastAsia" w:ascii="仿宋" w:hAnsi="仿宋" w:eastAsia="仿宋" w:cs="宋体"/>
          <w:szCs w:val="21"/>
        </w:rPr>
        <w:t>停车场系统后续涉及维护升级，合作乙方应无条件配合甲方完成智能化车位引导系统建设及升级。包括后续运营过程中停车场能耗、维修配件、改造升级等，详见附表（五），由乙方投入资金完成建设。</w:t>
      </w:r>
    </w:p>
    <w:p>
      <w:pPr>
        <w:numPr>
          <w:ilvl w:val="0"/>
          <w:numId w:val="7"/>
        </w:numPr>
        <w:spacing w:line="360" w:lineRule="auto"/>
        <w:ind w:left="-420"/>
        <w:rPr>
          <w:rFonts w:ascii="仿宋" w:hAnsi="仿宋" w:eastAsia="仿宋" w:cs="宋体"/>
          <w:szCs w:val="21"/>
        </w:rPr>
      </w:pPr>
      <w:r>
        <w:rPr>
          <w:rFonts w:hint="eastAsia" w:ascii="仿宋" w:hAnsi="仿宋" w:eastAsia="仿宋" w:cs="宋体"/>
          <w:szCs w:val="21"/>
        </w:rPr>
        <w:t>停车场运营增值项目（如：小猫洗车、充电桩、车场广告，电动车充电等）上报院方审核，其他停车场运营项目另</w:t>
      </w:r>
      <w:r>
        <w:rPr>
          <w:rFonts w:ascii="仿宋" w:hAnsi="仿宋" w:eastAsia="仿宋" w:cs="宋体"/>
          <w:szCs w:val="21"/>
        </w:rPr>
        <w:t>增补协议，</w:t>
      </w:r>
      <w:r>
        <w:rPr>
          <w:rFonts w:hint="eastAsia" w:ascii="仿宋" w:hAnsi="仿宋" w:eastAsia="仿宋" w:cs="宋体"/>
          <w:szCs w:val="21"/>
        </w:rPr>
        <w:t>上交一定比例管理费。</w:t>
      </w:r>
    </w:p>
    <w:p>
      <w:pPr>
        <w:numPr>
          <w:ilvl w:val="0"/>
          <w:numId w:val="7"/>
        </w:numPr>
        <w:spacing w:line="360" w:lineRule="auto"/>
        <w:ind w:left="-420"/>
        <w:rPr>
          <w:rFonts w:ascii="仿宋" w:hAnsi="仿宋" w:eastAsia="仿宋" w:cs="宋体"/>
          <w:szCs w:val="21"/>
        </w:rPr>
      </w:pPr>
      <w:r>
        <w:rPr>
          <w:rFonts w:hint="eastAsia" w:ascii="仿宋" w:hAnsi="仿宋" w:eastAsia="仿宋" w:cs="宋体"/>
          <w:szCs w:val="21"/>
        </w:rPr>
        <w:t>停车场对外收费严格按照汕尾市发改局指导收费标准执行，所有对外收费异议及纠纷由乙方负责处理。</w:t>
      </w:r>
    </w:p>
    <w:p>
      <w:pPr>
        <w:numPr>
          <w:ilvl w:val="0"/>
          <w:numId w:val="7"/>
        </w:numPr>
        <w:spacing w:line="360" w:lineRule="auto"/>
        <w:ind w:left="-420"/>
        <w:rPr>
          <w:rFonts w:ascii="仿宋" w:hAnsi="仿宋" w:eastAsia="仿宋" w:cs="宋体"/>
          <w:szCs w:val="21"/>
        </w:rPr>
      </w:pPr>
      <w:r>
        <w:rPr>
          <w:rFonts w:hint="eastAsia" w:ascii="仿宋" w:hAnsi="仿宋" w:eastAsia="仿宋" w:cs="宋体"/>
          <w:szCs w:val="21"/>
        </w:rPr>
        <w:t>停车场外包管理服务按照一定数量车位承包经营形式。总车位承包数按照实际运营车位数量为准，详见附件</w:t>
      </w:r>
      <w:r>
        <w:rPr>
          <w:rFonts w:hint="eastAsia" w:ascii="仿宋" w:hAnsi="仿宋" w:eastAsia="仿宋" w:cs="宋体"/>
          <w:szCs w:val="21"/>
          <w:lang w:val="en-US" w:eastAsia="zh-CN"/>
        </w:rPr>
        <w:t>1</w:t>
      </w:r>
      <w:r>
        <w:rPr>
          <w:rFonts w:hint="eastAsia" w:ascii="仿宋" w:hAnsi="仿宋" w:eastAsia="仿宋" w:cs="宋体"/>
          <w:szCs w:val="21"/>
        </w:rPr>
        <w:t>。但外包管理服务应承担院区内所有停车位的日常管理工作。</w:t>
      </w:r>
    </w:p>
    <w:p>
      <w:pPr>
        <w:numPr>
          <w:ilvl w:val="0"/>
          <w:numId w:val="7"/>
        </w:numPr>
        <w:spacing w:line="360" w:lineRule="auto"/>
        <w:ind w:left="-420"/>
        <w:rPr>
          <w:rFonts w:ascii="仿宋" w:hAnsi="仿宋" w:eastAsia="仿宋" w:cs="宋体"/>
          <w:szCs w:val="21"/>
        </w:rPr>
      </w:pPr>
      <w:r>
        <w:rPr>
          <w:rFonts w:hint="eastAsia" w:ascii="仿宋" w:hAnsi="仿宋" w:eastAsia="仿宋" w:cs="宋体"/>
          <w:szCs w:val="21"/>
        </w:rPr>
        <w:t>按照甲方要求投放设备、人员等，改造升级停车场系统管理，所有费用由乙方支出。运营1年后，由甲方财务及审计部门核算相关收支财务数据，再调整车位租金，后勤科监管停车场财务收费系统。</w:t>
      </w:r>
    </w:p>
    <w:p>
      <w:pPr>
        <w:numPr>
          <w:ilvl w:val="0"/>
          <w:numId w:val="7"/>
        </w:numPr>
        <w:spacing w:line="360" w:lineRule="auto"/>
        <w:ind w:left="-420"/>
        <w:rPr>
          <w:rFonts w:ascii="仿宋" w:hAnsi="仿宋" w:eastAsia="仿宋" w:cs="宋体"/>
          <w:szCs w:val="21"/>
        </w:rPr>
      </w:pPr>
      <w:r>
        <w:rPr>
          <w:rFonts w:hint="eastAsia" w:ascii="仿宋" w:hAnsi="仿宋" w:eastAsia="仿宋" w:cs="宋体"/>
          <w:szCs w:val="21"/>
        </w:rPr>
        <w:t>甲方公务车辆及市政主管部门来往车辆可报备免费通行，社会特种车辆免费通行例如警车、军车、消防车等等。</w:t>
      </w:r>
    </w:p>
    <w:p>
      <w:pPr>
        <w:numPr>
          <w:ilvl w:val="0"/>
          <w:numId w:val="7"/>
        </w:numPr>
        <w:spacing w:line="360" w:lineRule="auto"/>
        <w:ind w:left="-420"/>
        <w:rPr>
          <w:rFonts w:ascii="仿宋" w:hAnsi="仿宋" w:eastAsia="仿宋" w:cs="宋体"/>
          <w:szCs w:val="21"/>
        </w:rPr>
      </w:pPr>
      <w:r>
        <w:rPr>
          <w:rFonts w:hint="eastAsia" w:ascii="仿宋" w:hAnsi="仿宋" w:eastAsia="仿宋" w:cs="宋体"/>
          <w:szCs w:val="21"/>
        </w:rPr>
        <w:t>甲方职工、第三方公司职工月卡收费归甲方所有，不纳入停车场收益。甲方职工在每月工资发放上直接扣除，第三方职工到甲方财务部门缴纳停车月费。</w:t>
      </w:r>
    </w:p>
    <w:p>
      <w:pPr>
        <w:numPr>
          <w:ilvl w:val="0"/>
          <w:numId w:val="7"/>
        </w:numPr>
        <w:spacing w:line="360" w:lineRule="auto"/>
        <w:ind w:left="-420"/>
        <w:rPr>
          <w:rFonts w:ascii="仿宋" w:hAnsi="仿宋" w:eastAsia="仿宋" w:cs="宋体"/>
          <w:szCs w:val="21"/>
        </w:rPr>
      </w:pPr>
      <w:r>
        <w:rPr>
          <w:rFonts w:hint="eastAsia" w:ascii="仿宋" w:hAnsi="仿宋" w:eastAsia="仿宋" w:cs="宋体"/>
          <w:szCs w:val="21"/>
        </w:rPr>
        <w:t>甲乙双方签订协议后，乙方向甲方缴纳5万保证金。待合同完结后，凭收据凭证无息返还。</w:t>
      </w:r>
    </w:p>
    <w:p>
      <w:pPr>
        <w:numPr>
          <w:ilvl w:val="0"/>
          <w:numId w:val="7"/>
        </w:numPr>
        <w:spacing w:line="360" w:lineRule="auto"/>
        <w:ind w:left="-420"/>
        <w:rPr>
          <w:rFonts w:ascii="仿宋" w:hAnsi="仿宋" w:eastAsia="仿宋" w:cs="宋体"/>
          <w:szCs w:val="21"/>
        </w:rPr>
      </w:pPr>
      <w:r>
        <w:rPr>
          <w:rFonts w:hint="eastAsia" w:ascii="仿宋" w:hAnsi="仿宋" w:eastAsia="仿宋" w:cs="宋体"/>
          <w:szCs w:val="21"/>
        </w:rPr>
        <w:t xml:space="preserve">合同期内免收管理租金，合同期为1年。 </w:t>
      </w:r>
    </w:p>
    <w:p>
      <w:pPr>
        <w:numPr>
          <w:ilvl w:val="0"/>
          <w:numId w:val="6"/>
        </w:numPr>
        <w:spacing w:line="480" w:lineRule="auto"/>
        <w:jc w:val="left"/>
        <w:outlineLvl w:val="0"/>
        <w:rPr>
          <w:rFonts w:ascii="仿宋" w:hAnsi="仿宋" w:eastAsia="仿宋" w:cs="宋体"/>
          <w:b/>
          <w:szCs w:val="21"/>
        </w:rPr>
      </w:pPr>
      <w:bookmarkStart w:id="3" w:name="_Toc98150583"/>
      <w:bookmarkStart w:id="4" w:name="_Toc23827"/>
      <w:bookmarkStart w:id="5" w:name="_Toc11989"/>
      <w:bookmarkStart w:id="6" w:name="_Toc15573"/>
      <w:r>
        <w:rPr>
          <w:rFonts w:hint="eastAsia" w:ascii="仿宋" w:hAnsi="仿宋" w:eastAsia="仿宋" w:cs="宋体"/>
          <w:b/>
          <w:szCs w:val="21"/>
        </w:rPr>
        <w:t>岗位设置及管理架构</w:t>
      </w:r>
      <w:bookmarkEnd w:id="3"/>
      <w:bookmarkEnd w:id="4"/>
      <w:bookmarkEnd w:id="5"/>
      <w:bookmarkEnd w:id="6"/>
      <w:bookmarkStart w:id="7" w:name="_Toc98150584"/>
    </w:p>
    <w:p>
      <w:pPr>
        <w:pStyle w:val="7"/>
        <w:widowControl/>
        <w:numPr>
          <w:ilvl w:val="0"/>
          <w:numId w:val="8"/>
        </w:numPr>
        <w:spacing w:line="360" w:lineRule="exact"/>
        <w:ind w:left="0" w:leftChars="0" w:firstLine="420" w:firstLineChars="200"/>
        <w:outlineLvl w:val="1"/>
        <w:rPr>
          <w:rFonts w:ascii="仿宋" w:hAnsi="仿宋" w:eastAsia="仿宋" w:cs="宋体"/>
          <w:szCs w:val="21"/>
        </w:rPr>
      </w:pPr>
      <w:r>
        <w:rPr>
          <w:rFonts w:hint="eastAsia" w:ascii="仿宋" w:hAnsi="仿宋" w:eastAsia="仿宋" w:cs="宋体"/>
          <w:szCs w:val="21"/>
        </w:rPr>
        <w:t>停车场岗位设置如下：</w:t>
      </w:r>
      <w:bookmarkEnd w:id="7"/>
    </w:p>
    <w:p>
      <w:pPr>
        <w:numPr>
          <w:ilvl w:val="0"/>
          <w:numId w:val="9"/>
        </w:numPr>
        <w:tabs>
          <w:tab w:val="left" w:pos="1800"/>
          <w:tab w:val="clear" w:pos="0"/>
        </w:tabs>
        <w:spacing w:line="360" w:lineRule="auto"/>
        <w:ind w:left="0" w:leftChars="0" w:firstLine="0" w:firstLineChars="0"/>
        <w:rPr>
          <w:rFonts w:ascii="仿宋" w:hAnsi="仿宋" w:eastAsia="仿宋" w:cs="宋体"/>
          <w:szCs w:val="21"/>
        </w:rPr>
      </w:pPr>
      <w:r>
        <w:rPr>
          <w:rFonts w:hint="eastAsia" w:ascii="仿宋" w:hAnsi="仿宋" w:eastAsia="仿宋" w:cs="宋体"/>
          <w:szCs w:val="21"/>
        </w:rPr>
        <w:t>出口设收费岗及固定岗；</w:t>
      </w:r>
    </w:p>
    <w:p>
      <w:pPr>
        <w:numPr>
          <w:ilvl w:val="0"/>
          <w:numId w:val="9"/>
        </w:numPr>
        <w:spacing w:line="240" w:lineRule="auto"/>
        <w:ind w:firstLine="0"/>
        <w:rPr>
          <w:rFonts w:ascii="仿宋" w:hAnsi="仿宋" w:eastAsia="仿宋" w:cs="宋体"/>
          <w:szCs w:val="21"/>
        </w:rPr>
      </w:pPr>
      <w:r>
        <w:rPr>
          <w:rFonts w:hint="eastAsia" w:ascii="仿宋" w:hAnsi="仿宋" w:eastAsia="仿宋" w:cs="宋体"/>
          <w:szCs w:val="21"/>
        </w:rPr>
        <w:t>停车场内设流动巡逻岗，同时，监控中心也负责停车场内部监控；</w:t>
      </w:r>
    </w:p>
    <w:tbl>
      <w:tblPr>
        <w:tblStyle w:val="13"/>
        <w:tblpPr w:leftFromText="180" w:rightFromText="180" w:vertAnchor="text" w:horzAnchor="page" w:tblpX="1573" w:tblpY="690"/>
        <w:tblOverlap w:val="never"/>
        <w:tblW w:w="5465" w:type="pct"/>
        <w:tblInd w:w="0" w:type="dxa"/>
        <w:tblLayout w:type="fixed"/>
        <w:tblCellMar>
          <w:top w:w="0" w:type="dxa"/>
          <w:left w:w="0" w:type="dxa"/>
          <w:bottom w:w="0" w:type="dxa"/>
          <w:right w:w="0" w:type="dxa"/>
        </w:tblCellMar>
      </w:tblPr>
      <w:tblGrid>
        <w:gridCol w:w="864"/>
        <w:gridCol w:w="1689"/>
        <w:gridCol w:w="864"/>
        <w:gridCol w:w="3331"/>
        <w:gridCol w:w="1471"/>
        <w:gridCol w:w="989"/>
      </w:tblGrid>
      <w:tr>
        <w:tblPrEx>
          <w:tblCellMar>
            <w:top w:w="0" w:type="dxa"/>
            <w:left w:w="0" w:type="dxa"/>
            <w:bottom w:w="0" w:type="dxa"/>
            <w:right w:w="0" w:type="dxa"/>
          </w:tblCellMar>
        </w:tblPrEx>
        <w:trPr>
          <w:cantSplit/>
          <w:trHeight w:val="650"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bookmarkStart w:id="8" w:name="_Toc98150585"/>
            <w:r>
              <w:rPr>
                <w:rFonts w:hint="eastAsia" w:ascii="仿宋" w:hAnsi="仿宋" w:eastAsia="仿宋" w:cs="宋体"/>
                <w:color w:val="000000"/>
                <w:kern w:val="0"/>
                <w:szCs w:val="21"/>
              </w:rPr>
              <w:t>停车场人员配置表</w:t>
            </w:r>
          </w:p>
        </w:tc>
      </w:tr>
      <w:tr>
        <w:tblPrEx>
          <w:tblCellMar>
            <w:top w:w="0" w:type="dxa"/>
            <w:left w:w="0" w:type="dxa"/>
            <w:bottom w:w="0" w:type="dxa"/>
            <w:right w:w="0" w:type="dxa"/>
          </w:tblCellMar>
        </w:tblPrEx>
        <w:trPr>
          <w:cantSplit/>
          <w:trHeight w:val="851"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rPr>
              <w:t>注：单岗值班人数为1人， 双岗值班人数为2人，24小时值勤为3班倒，每班次8小时制</w:t>
            </w:r>
          </w:p>
        </w:tc>
      </w:tr>
      <w:tr>
        <w:tblPrEx>
          <w:tblCellMar>
            <w:top w:w="0" w:type="dxa"/>
            <w:left w:w="0" w:type="dxa"/>
            <w:bottom w:w="0" w:type="dxa"/>
            <w:right w:w="0" w:type="dxa"/>
          </w:tblCellMar>
        </w:tblPrEx>
        <w:trPr>
          <w:cantSplit/>
          <w:trHeight w:val="650" w:hRule="atLeast"/>
        </w:trPr>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序号</w:t>
            </w:r>
          </w:p>
        </w:tc>
        <w:tc>
          <w:tcPr>
            <w:tcW w:w="9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岗位位置</w:t>
            </w:r>
          </w:p>
        </w:tc>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配置</w:t>
            </w:r>
          </w:p>
        </w:tc>
        <w:tc>
          <w:tcPr>
            <w:tcW w:w="18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上班时长</w:t>
            </w:r>
          </w:p>
        </w:tc>
        <w:tc>
          <w:tcPr>
            <w:tcW w:w="798" w:type="pc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rPr>
              <w:t>配置人数</w:t>
            </w:r>
          </w:p>
        </w:tc>
        <w:tc>
          <w:tcPr>
            <w:tcW w:w="5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b/>
                <w:color w:val="000000"/>
                <w:kern w:val="0"/>
                <w:szCs w:val="21"/>
              </w:rPr>
              <w:t>备注</w:t>
            </w:r>
          </w:p>
        </w:tc>
      </w:tr>
      <w:tr>
        <w:tblPrEx>
          <w:tblCellMar>
            <w:top w:w="0" w:type="dxa"/>
            <w:left w:w="0" w:type="dxa"/>
            <w:bottom w:w="0" w:type="dxa"/>
            <w:right w:w="0" w:type="dxa"/>
          </w:tblCellMar>
        </w:tblPrEx>
        <w:trPr>
          <w:cantSplit/>
          <w:trHeight w:val="434" w:hRule="atLeast"/>
        </w:trPr>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9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收费岗</w:t>
            </w:r>
          </w:p>
        </w:tc>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双岗</w:t>
            </w:r>
          </w:p>
        </w:tc>
        <w:tc>
          <w:tcPr>
            <w:tcW w:w="18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24小时（3班每班2人值勤）</w:t>
            </w:r>
          </w:p>
        </w:tc>
        <w:tc>
          <w:tcPr>
            <w:tcW w:w="79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w:t>
            </w:r>
          </w:p>
        </w:tc>
        <w:tc>
          <w:tcPr>
            <w:tcW w:w="5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9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巡逻岗</w:t>
            </w:r>
          </w:p>
        </w:tc>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8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24小时（3班每班1人值勤）</w:t>
            </w:r>
          </w:p>
        </w:tc>
        <w:tc>
          <w:tcPr>
            <w:tcW w:w="79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w:t>
            </w:r>
          </w:p>
        </w:tc>
        <w:tc>
          <w:tcPr>
            <w:tcW w:w="5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ascii="仿宋" w:hAnsi="仿宋" w:eastAsia="仿宋" w:cs="宋体"/>
                <w:color w:val="000000"/>
                <w:szCs w:val="21"/>
              </w:rPr>
            </w:pPr>
          </w:p>
        </w:tc>
      </w:tr>
      <w:tr>
        <w:tblPrEx>
          <w:tblCellMar>
            <w:top w:w="0" w:type="dxa"/>
            <w:left w:w="0" w:type="dxa"/>
            <w:bottom w:w="0" w:type="dxa"/>
            <w:right w:w="0" w:type="dxa"/>
          </w:tblCellMar>
        </w:tblPrEx>
        <w:trPr>
          <w:cantSplit/>
          <w:trHeight w:val="434" w:hRule="atLeast"/>
        </w:trPr>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w:t>
            </w:r>
          </w:p>
        </w:tc>
        <w:tc>
          <w:tcPr>
            <w:tcW w:w="9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路面引导</w:t>
            </w:r>
          </w:p>
        </w:tc>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8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24小时（3班每班1人值勤）</w:t>
            </w:r>
          </w:p>
        </w:tc>
        <w:tc>
          <w:tcPr>
            <w:tcW w:w="79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w:t>
            </w:r>
          </w:p>
        </w:tc>
        <w:tc>
          <w:tcPr>
            <w:tcW w:w="5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609" w:hRule="atLeast"/>
        </w:trPr>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4</w:t>
            </w:r>
          </w:p>
        </w:tc>
        <w:tc>
          <w:tcPr>
            <w:tcW w:w="9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安全班长</w:t>
            </w:r>
          </w:p>
        </w:tc>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单岗</w:t>
            </w:r>
          </w:p>
        </w:tc>
        <w:tc>
          <w:tcPr>
            <w:tcW w:w="180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12小时</w:t>
            </w:r>
          </w:p>
        </w:tc>
        <w:tc>
          <w:tcPr>
            <w:tcW w:w="79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5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r>
        <w:tblPrEx>
          <w:tblCellMar>
            <w:top w:w="0" w:type="dxa"/>
            <w:left w:w="0" w:type="dxa"/>
            <w:bottom w:w="0" w:type="dxa"/>
            <w:right w:w="0" w:type="dxa"/>
          </w:tblCellMar>
        </w:tblPrEx>
        <w:trPr>
          <w:cantSplit/>
          <w:trHeight w:val="444" w:hRule="atLeast"/>
        </w:trPr>
        <w:tc>
          <w:tcPr>
            <w:tcW w:w="46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c>
          <w:tcPr>
            <w:tcW w:w="3195"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合计：</w:t>
            </w:r>
          </w:p>
        </w:tc>
        <w:tc>
          <w:tcPr>
            <w:tcW w:w="79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13</w:t>
            </w:r>
          </w:p>
        </w:tc>
        <w:tc>
          <w:tcPr>
            <w:tcW w:w="53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Cs w:val="21"/>
              </w:rPr>
            </w:pPr>
          </w:p>
        </w:tc>
      </w:tr>
    </w:tbl>
    <w:p>
      <w:pPr>
        <w:numPr>
          <w:ilvl w:val="0"/>
          <w:numId w:val="0"/>
        </w:numPr>
        <w:spacing w:line="240" w:lineRule="auto"/>
        <w:outlineLvl w:val="1"/>
        <w:rPr>
          <w:rFonts w:ascii="仿宋" w:hAnsi="仿宋" w:eastAsia="仿宋"/>
          <w:szCs w:val="21"/>
        </w:rPr>
      </w:pPr>
    </w:p>
    <w:p>
      <w:pPr>
        <w:numPr>
          <w:ilvl w:val="0"/>
          <w:numId w:val="8"/>
        </w:numPr>
        <w:spacing w:line="240" w:lineRule="auto"/>
        <w:ind w:left="0"/>
        <w:outlineLvl w:val="1"/>
        <w:rPr>
          <w:rFonts w:ascii="仿宋" w:hAnsi="仿宋" w:eastAsia="仿宋"/>
          <w:szCs w:val="21"/>
        </w:rPr>
      </w:pPr>
      <w:r>
        <w:rPr>
          <w:rFonts w:hint="eastAsia" w:ascii="仿宋" w:hAnsi="仿宋" w:eastAsia="仿宋" w:cs="宋体"/>
          <w:szCs w:val="21"/>
        </w:rPr>
        <w:t>停车场之管理架构图及人员配置：（24小时值班，三班倒）</w:t>
      </w:r>
      <w:bookmarkEnd w:id="8"/>
    </w:p>
    <w:p>
      <w:pPr>
        <w:jc w:val="left"/>
        <w:rPr>
          <w:rFonts w:ascii="仿宋" w:hAnsi="仿宋" w:eastAsia="仿宋"/>
          <w:szCs w:val="21"/>
        </w:rPr>
        <w:sectPr>
          <w:pgSz w:w="11906" w:h="16838"/>
          <w:pgMar w:top="1440" w:right="2106" w:bottom="1440" w:left="1400" w:header="851" w:footer="992" w:gutter="0"/>
          <w:cols w:space="425" w:num="1"/>
          <w:docGrid w:type="lines" w:linePitch="312" w:charSpace="0"/>
        </w:sectPr>
      </w:pPr>
    </w:p>
    <w:p>
      <w:pPr>
        <w:jc w:val="left"/>
        <w:rPr>
          <w:rFonts w:ascii="仿宋" w:hAnsi="仿宋" w:eastAsia="仿宋"/>
          <w:szCs w:val="21"/>
        </w:rPr>
      </w:pPr>
    </w:p>
    <w:p>
      <w:pPr>
        <w:numPr>
          <w:ilvl w:val="0"/>
          <w:numId w:val="6"/>
        </w:numPr>
        <w:jc w:val="left"/>
        <w:outlineLvl w:val="0"/>
        <w:rPr>
          <w:rFonts w:ascii="仿宋" w:hAnsi="仿宋" w:eastAsia="仿宋" w:cs="宋体"/>
          <w:b/>
          <w:szCs w:val="21"/>
        </w:rPr>
      </w:pPr>
      <w:r>
        <w:rPr>
          <w:rFonts w:hint="eastAsia" w:ascii="仿宋" w:hAnsi="仿宋" w:eastAsia="仿宋" w:cs="宋体"/>
          <w:b/>
          <w:szCs w:val="21"/>
        </w:rPr>
        <w:t>停车场车位规划停放</w:t>
      </w:r>
    </w:p>
    <w:p>
      <w:pPr>
        <w:numPr>
          <w:ilvl w:val="0"/>
          <w:numId w:val="10"/>
        </w:numPr>
        <w:tabs>
          <w:tab w:val="center" w:pos="4153"/>
          <w:tab w:val="left" w:pos="6597"/>
        </w:tabs>
        <w:spacing w:line="360" w:lineRule="auto"/>
        <w:outlineLvl w:val="0"/>
        <w:rPr>
          <w:rFonts w:ascii="仿宋" w:hAnsi="仿宋" w:eastAsia="仿宋" w:cs="宋体"/>
          <w:b/>
          <w:bCs/>
          <w:szCs w:val="21"/>
        </w:rPr>
      </w:pPr>
      <w:r>
        <w:rPr>
          <w:rFonts w:hint="eastAsia" w:ascii="仿宋" w:hAnsi="仿宋" w:eastAsia="仿宋" w:cs="宋体"/>
          <w:b/>
          <w:bCs/>
          <w:szCs w:val="21"/>
        </w:rPr>
        <w:t>二期工程未开建停车场车位规划停放</w:t>
      </w:r>
    </w:p>
    <w:tbl>
      <w:tblPr>
        <w:tblStyle w:val="13"/>
        <w:tblW w:w="9176" w:type="dxa"/>
        <w:tblInd w:w="93" w:type="dxa"/>
        <w:tblLayout w:type="fixed"/>
        <w:tblCellMar>
          <w:top w:w="0" w:type="dxa"/>
          <w:left w:w="108" w:type="dxa"/>
          <w:bottom w:w="0" w:type="dxa"/>
          <w:right w:w="108" w:type="dxa"/>
        </w:tblCellMar>
      </w:tblPr>
      <w:tblGrid>
        <w:gridCol w:w="713"/>
        <w:gridCol w:w="1470"/>
        <w:gridCol w:w="2397"/>
        <w:gridCol w:w="1435"/>
        <w:gridCol w:w="1141"/>
        <w:gridCol w:w="2020"/>
      </w:tblGrid>
      <w:tr>
        <w:tblPrEx>
          <w:tblCellMar>
            <w:top w:w="0" w:type="dxa"/>
            <w:left w:w="108" w:type="dxa"/>
            <w:bottom w:w="0" w:type="dxa"/>
            <w:right w:w="108" w:type="dxa"/>
          </w:tblCellMar>
        </w:tblPrEx>
        <w:trPr>
          <w:trHeight w:val="596" w:hRule="atLeast"/>
        </w:trPr>
        <w:tc>
          <w:tcPr>
            <w:tcW w:w="917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停车场车位规划开放</w:t>
            </w:r>
          </w:p>
        </w:tc>
      </w:tr>
      <w:tr>
        <w:tblPrEx>
          <w:tblCellMar>
            <w:top w:w="0" w:type="dxa"/>
            <w:left w:w="108" w:type="dxa"/>
            <w:bottom w:w="0" w:type="dxa"/>
            <w:right w:w="108" w:type="dxa"/>
          </w:tblCellMar>
        </w:tblPrEx>
        <w:trPr>
          <w:trHeight w:val="596" w:hRule="atLeast"/>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序号</w:t>
            </w:r>
          </w:p>
        </w:tc>
        <w:tc>
          <w:tcPr>
            <w:tcW w:w="14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开放对象</w:t>
            </w:r>
          </w:p>
        </w:tc>
        <w:tc>
          <w:tcPr>
            <w:tcW w:w="239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停放区域</w:t>
            </w:r>
          </w:p>
        </w:tc>
        <w:tc>
          <w:tcPr>
            <w:tcW w:w="14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开放车位数</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szCs w:val="21"/>
              </w:rPr>
              <w:t>可停放总车位数</w:t>
            </w:r>
          </w:p>
        </w:tc>
        <w:tc>
          <w:tcPr>
            <w:tcW w:w="20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备注</w:t>
            </w:r>
          </w:p>
        </w:tc>
      </w:tr>
      <w:tr>
        <w:tblPrEx>
          <w:tblCellMar>
            <w:top w:w="0" w:type="dxa"/>
            <w:left w:w="108" w:type="dxa"/>
            <w:bottom w:w="0" w:type="dxa"/>
            <w:right w:w="108" w:type="dxa"/>
          </w:tblCellMar>
        </w:tblPrEx>
        <w:trPr>
          <w:trHeight w:val="596" w:hRule="atLeast"/>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1</w:t>
            </w:r>
          </w:p>
        </w:tc>
        <w:tc>
          <w:tcPr>
            <w:tcW w:w="14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医院正式职工</w:t>
            </w:r>
          </w:p>
        </w:tc>
        <w:tc>
          <w:tcPr>
            <w:tcW w:w="239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负一层、负二层</w:t>
            </w:r>
          </w:p>
        </w:tc>
        <w:tc>
          <w:tcPr>
            <w:tcW w:w="14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410</w:t>
            </w:r>
          </w:p>
        </w:tc>
        <w:tc>
          <w:tcPr>
            <w:tcW w:w="114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szCs w:val="21"/>
              </w:rPr>
              <w:t>1054</w:t>
            </w:r>
          </w:p>
        </w:tc>
        <w:tc>
          <w:tcPr>
            <w:tcW w:w="2020" w:type="dxa"/>
            <w:vMerge w:val="restart"/>
            <w:tcBorders>
              <w:top w:val="nil"/>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　原设计全院1121个停车位，负一层库房、室外医废间、太平间、便利店建设共占用52个停车位。停车场部分停车位因人防门等限制无法停用合计约15个。</w:t>
            </w:r>
            <w:r>
              <w:rPr>
                <w:rFonts w:hint="eastAsia" w:ascii="仿宋" w:hAnsi="仿宋" w:eastAsia="仿宋" w:cs="等线"/>
                <w:b/>
                <w:bCs/>
                <w:color w:val="000000"/>
                <w:kern w:val="0"/>
                <w:szCs w:val="21"/>
              </w:rPr>
              <w:t>即全院可停放车位总数为1054个车位。</w:t>
            </w:r>
          </w:p>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　</w:t>
            </w:r>
          </w:p>
        </w:tc>
      </w:tr>
      <w:tr>
        <w:tblPrEx>
          <w:tblCellMar>
            <w:top w:w="0" w:type="dxa"/>
            <w:left w:w="108" w:type="dxa"/>
            <w:bottom w:w="0" w:type="dxa"/>
            <w:right w:w="108" w:type="dxa"/>
          </w:tblCellMar>
        </w:tblPrEx>
        <w:trPr>
          <w:trHeight w:val="889" w:hRule="atLeast"/>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2</w:t>
            </w:r>
          </w:p>
        </w:tc>
        <w:tc>
          <w:tcPr>
            <w:tcW w:w="14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第三方（物业、被服、食堂等等）</w:t>
            </w:r>
          </w:p>
        </w:tc>
        <w:tc>
          <w:tcPr>
            <w:tcW w:w="239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负二层、住院部室外北侧</w:t>
            </w:r>
          </w:p>
        </w:tc>
        <w:tc>
          <w:tcPr>
            <w:tcW w:w="14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150</w:t>
            </w:r>
          </w:p>
        </w:tc>
        <w:tc>
          <w:tcPr>
            <w:tcW w:w="1141" w:type="dxa"/>
            <w:vMerge w:val="continue"/>
            <w:tcBorders>
              <w:left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2020"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889" w:hRule="atLeast"/>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3</w:t>
            </w:r>
          </w:p>
        </w:tc>
        <w:tc>
          <w:tcPr>
            <w:tcW w:w="14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患者及陪护家属临停车辆</w:t>
            </w:r>
          </w:p>
        </w:tc>
        <w:tc>
          <w:tcPr>
            <w:tcW w:w="239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东边停车场</w:t>
            </w:r>
          </w:p>
        </w:tc>
        <w:tc>
          <w:tcPr>
            <w:tcW w:w="14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370</w:t>
            </w:r>
          </w:p>
        </w:tc>
        <w:tc>
          <w:tcPr>
            <w:tcW w:w="1141" w:type="dxa"/>
            <w:vMerge w:val="continue"/>
            <w:tcBorders>
              <w:left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2020"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889" w:hRule="atLeast"/>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4</w:t>
            </w:r>
          </w:p>
        </w:tc>
        <w:tc>
          <w:tcPr>
            <w:tcW w:w="14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送货车辆</w:t>
            </w:r>
          </w:p>
        </w:tc>
        <w:tc>
          <w:tcPr>
            <w:tcW w:w="239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行政楼与门诊楼连廊下方车道，临停车位不占用全院车位总数</w:t>
            </w:r>
          </w:p>
        </w:tc>
        <w:tc>
          <w:tcPr>
            <w:tcW w:w="14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szCs w:val="21"/>
              </w:rPr>
              <w:t>10</w:t>
            </w:r>
          </w:p>
        </w:tc>
        <w:tc>
          <w:tcPr>
            <w:tcW w:w="1141" w:type="dxa"/>
            <w:vMerge w:val="continue"/>
            <w:tcBorders>
              <w:left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2020"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596"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5</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公务来往车辆</w:t>
            </w:r>
          </w:p>
        </w:tc>
        <w:tc>
          <w:tcPr>
            <w:tcW w:w="23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行政楼一楼南侧车位</w:t>
            </w:r>
          </w:p>
        </w:tc>
        <w:tc>
          <w:tcPr>
            <w:tcW w:w="14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18</w:t>
            </w:r>
          </w:p>
        </w:tc>
        <w:tc>
          <w:tcPr>
            <w:tcW w:w="1141" w:type="dxa"/>
            <w:vMerge w:val="continue"/>
            <w:tcBorders>
              <w:left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2020"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1135"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6</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救护车</w:t>
            </w:r>
          </w:p>
        </w:tc>
        <w:tc>
          <w:tcPr>
            <w:tcW w:w="23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行政楼一楼南侧车位</w:t>
            </w:r>
          </w:p>
        </w:tc>
        <w:tc>
          <w:tcPr>
            <w:tcW w:w="14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6</w:t>
            </w:r>
          </w:p>
        </w:tc>
        <w:tc>
          <w:tcPr>
            <w:tcW w:w="1141"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p>
        </w:tc>
        <w:tc>
          <w:tcPr>
            <w:tcW w:w="2020" w:type="dxa"/>
            <w:vMerge w:val="continue"/>
            <w:tcBorders>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p>
        </w:tc>
      </w:tr>
      <w:tr>
        <w:tblPrEx>
          <w:tblCellMar>
            <w:top w:w="0" w:type="dxa"/>
            <w:left w:w="108" w:type="dxa"/>
            <w:bottom w:w="0" w:type="dxa"/>
            <w:right w:w="108" w:type="dxa"/>
          </w:tblCellMar>
        </w:tblPrEx>
        <w:trPr>
          <w:trHeight w:val="898"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7</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流动开放</w:t>
            </w:r>
          </w:p>
        </w:tc>
        <w:tc>
          <w:tcPr>
            <w:tcW w:w="23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p>
        </w:tc>
        <w:tc>
          <w:tcPr>
            <w:tcW w:w="14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100</w:t>
            </w:r>
          </w:p>
        </w:tc>
        <w:tc>
          <w:tcPr>
            <w:tcW w:w="11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仿宋" w:hAnsi="仿宋" w:eastAsia="仿宋" w:cs="等线"/>
                <w:color w:val="000000"/>
                <w:kern w:val="0"/>
                <w:szCs w:val="21"/>
              </w:rPr>
            </w:pPr>
            <w:r>
              <w:rPr>
                <w:rFonts w:hint="eastAsia" w:ascii="仿宋" w:hAnsi="仿宋" w:eastAsia="仿宋" w:cs="等线"/>
                <w:color w:val="000000"/>
                <w:kern w:val="0"/>
                <w:szCs w:val="21"/>
              </w:rPr>
              <w:t>为二期开建可用车位缩减，预留为对外开放。</w:t>
            </w:r>
          </w:p>
        </w:tc>
      </w:tr>
    </w:tbl>
    <w:p>
      <w:pPr>
        <w:numPr>
          <w:ilvl w:val="0"/>
          <w:numId w:val="10"/>
        </w:numPr>
        <w:jc w:val="left"/>
        <w:outlineLvl w:val="0"/>
        <w:rPr>
          <w:rFonts w:ascii="仿宋" w:hAnsi="仿宋" w:eastAsia="仿宋" w:cs="宋体"/>
          <w:b/>
          <w:szCs w:val="21"/>
        </w:rPr>
      </w:pPr>
      <w:r>
        <w:rPr>
          <w:rFonts w:hint="eastAsia" w:ascii="仿宋" w:hAnsi="仿宋" w:eastAsia="仿宋" w:cs="宋体"/>
          <w:b/>
          <w:szCs w:val="21"/>
        </w:rPr>
        <w:t>二期工程开建停车场车位规划停放</w:t>
      </w:r>
    </w:p>
    <w:tbl>
      <w:tblPr>
        <w:tblStyle w:val="13"/>
        <w:tblW w:w="9400" w:type="dxa"/>
        <w:tblInd w:w="93" w:type="dxa"/>
        <w:tblLayout w:type="fixed"/>
        <w:tblCellMar>
          <w:top w:w="0" w:type="dxa"/>
          <w:left w:w="108" w:type="dxa"/>
          <w:bottom w:w="0" w:type="dxa"/>
          <w:right w:w="108" w:type="dxa"/>
        </w:tblCellMar>
      </w:tblPr>
      <w:tblGrid>
        <w:gridCol w:w="637"/>
        <w:gridCol w:w="927"/>
        <w:gridCol w:w="2698"/>
        <w:gridCol w:w="1278"/>
        <w:gridCol w:w="1969"/>
        <w:gridCol w:w="1891"/>
      </w:tblGrid>
      <w:tr>
        <w:tblPrEx>
          <w:tblCellMar>
            <w:top w:w="0" w:type="dxa"/>
            <w:left w:w="108" w:type="dxa"/>
            <w:bottom w:w="0" w:type="dxa"/>
            <w:right w:w="108" w:type="dxa"/>
          </w:tblCellMar>
        </w:tblPrEx>
        <w:trPr>
          <w:trHeight w:val="619" w:hRule="atLeast"/>
        </w:trPr>
        <w:tc>
          <w:tcPr>
            <w:tcW w:w="94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停车场车位规划开放</w:t>
            </w:r>
          </w:p>
        </w:tc>
      </w:tr>
      <w:tr>
        <w:tblPrEx>
          <w:tblCellMar>
            <w:top w:w="0" w:type="dxa"/>
            <w:left w:w="108" w:type="dxa"/>
            <w:bottom w:w="0" w:type="dxa"/>
            <w:right w:w="108" w:type="dxa"/>
          </w:tblCellMar>
        </w:tblPrEx>
        <w:trPr>
          <w:trHeight w:val="619"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序号</w:t>
            </w:r>
          </w:p>
        </w:tc>
        <w:tc>
          <w:tcPr>
            <w:tcW w:w="9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szCs w:val="21"/>
              </w:rPr>
              <w:t>开放对象</w:t>
            </w:r>
          </w:p>
        </w:tc>
        <w:tc>
          <w:tcPr>
            <w:tcW w:w="269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停放区域</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开放车位数</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szCs w:val="21"/>
              </w:rPr>
              <w:t>可停放总车位数</w:t>
            </w:r>
          </w:p>
        </w:tc>
        <w:tc>
          <w:tcPr>
            <w:tcW w:w="189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备注</w:t>
            </w:r>
          </w:p>
        </w:tc>
      </w:tr>
      <w:tr>
        <w:tblPrEx>
          <w:tblCellMar>
            <w:top w:w="0" w:type="dxa"/>
            <w:left w:w="108" w:type="dxa"/>
            <w:bottom w:w="0" w:type="dxa"/>
            <w:right w:w="108" w:type="dxa"/>
          </w:tblCellMar>
        </w:tblPrEx>
        <w:trPr>
          <w:trHeight w:val="619"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1</w:t>
            </w:r>
          </w:p>
        </w:tc>
        <w:tc>
          <w:tcPr>
            <w:tcW w:w="9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医院正式职工</w:t>
            </w:r>
          </w:p>
        </w:tc>
        <w:tc>
          <w:tcPr>
            <w:tcW w:w="269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负一层</w:t>
            </w:r>
            <w:r>
              <w:rPr>
                <w:rFonts w:ascii="仿宋" w:hAnsi="仿宋" w:eastAsia="仿宋" w:cs="等线"/>
                <w:color w:val="000000"/>
                <w:kern w:val="0"/>
                <w:szCs w:val="21"/>
              </w:rPr>
              <w:t>、负二层</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szCs w:val="21"/>
              </w:rPr>
              <w:t>410</w:t>
            </w:r>
          </w:p>
        </w:tc>
        <w:tc>
          <w:tcPr>
            <w:tcW w:w="1969" w:type="dxa"/>
            <w:vMerge w:val="restart"/>
            <w:tcBorders>
              <w:top w:val="nil"/>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679</w:t>
            </w:r>
          </w:p>
        </w:tc>
        <w:tc>
          <w:tcPr>
            <w:tcW w:w="1891" w:type="dxa"/>
            <w:vMerge w:val="restart"/>
            <w:tcBorders>
              <w:top w:val="nil"/>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原设计全院1121个停车位。负一层库房、，室外医废间、太平间、便利店建设共占用52个停车位。停车场部分停车位因人防门等限制无法停用合计约15个。二期建设占用停车位数量为375个。</w:t>
            </w:r>
            <w:r>
              <w:rPr>
                <w:rFonts w:hint="eastAsia" w:ascii="仿宋" w:hAnsi="仿宋" w:eastAsia="仿宋" w:cs="等线"/>
                <w:b/>
                <w:bCs/>
                <w:color w:val="000000"/>
                <w:kern w:val="0"/>
                <w:szCs w:val="21"/>
              </w:rPr>
              <w:t>即全院可停放车位总数为679个车位。</w:t>
            </w:r>
            <w:r>
              <w:rPr>
                <w:rFonts w:hint="eastAsia" w:ascii="仿宋" w:hAnsi="仿宋" w:eastAsia="仿宋" w:cs="等线"/>
                <w:color w:val="000000"/>
                <w:kern w:val="0"/>
                <w:szCs w:val="21"/>
              </w:rPr>
              <w:t>　</w:t>
            </w:r>
          </w:p>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　</w:t>
            </w:r>
          </w:p>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　</w:t>
            </w:r>
          </w:p>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　</w:t>
            </w:r>
          </w:p>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　</w:t>
            </w:r>
          </w:p>
        </w:tc>
      </w:tr>
      <w:tr>
        <w:tblPrEx>
          <w:tblCellMar>
            <w:top w:w="0" w:type="dxa"/>
            <w:left w:w="108" w:type="dxa"/>
            <w:bottom w:w="0" w:type="dxa"/>
            <w:right w:w="108" w:type="dxa"/>
          </w:tblCellMar>
        </w:tblPrEx>
        <w:trPr>
          <w:trHeight w:val="1838"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2</w:t>
            </w:r>
          </w:p>
        </w:tc>
        <w:tc>
          <w:tcPr>
            <w:tcW w:w="9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第三方（物业、被服、食堂等等）</w:t>
            </w:r>
          </w:p>
        </w:tc>
        <w:tc>
          <w:tcPr>
            <w:tcW w:w="269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负二层、住院部北侧</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150</w:t>
            </w:r>
          </w:p>
        </w:tc>
        <w:tc>
          <w:tcPr>
            <w:tcW w:w="1969"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1891"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619"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3</w:t>
            </w:r>
          </w:p>
        </w:tc>
        <w:tc>
          <w:tcPr>
            <w:tcW w:w="9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患者临停车辆</w:t>
            </w:r>
          </w:p>
        </w:tc>
        <w:tc>
          <w:tcPr>
            <w:tcW w:w="269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负二层</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100</w:t>
            </w:r>
          </w:p>
        </w:tc>
        <w:tc>
          <w:tcPr>
            <w:tcW w:w="1969"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1891"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1007"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4</w:t>
            </w:r>
          </w:p>
        </w:tc>
        <w:tc>
          <w:tcPr>
            <w:tcW w:w="9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送货车辆</w:t>
            </w:r>
          </w:p>
        </w:tc>
        <w:tc>
          <w:tcPr>
            <w:tcW w:w="269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行政楼与门诊楼连廊下方车道，临停车位不占用全院车位总数</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10</w:t>
            </w:r>
          </w:p>
        </w:tc>
        <w:tc>
          <w:tcPr>
            <w:tcW w:w="1969"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1891"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619" w:hRule="atLeast"/>
        </w:trPr>
        <w:tc>
          <w:tcPr>
            <w:tcW w:w="637" w:type="dxa"/>
            <w:tcBorders>
              <w:top w:val="nil"/>
              <w:left w:val="single" w:color="auto" w:sz="4" w:space="0"/>
              <w:bottom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5</w:t>
            </w:r>
          </w:p>
        </w:tc>
        <w:tc>
          <w:tcPr>
            <w:tcW w:w="927" w:type="dxa"/>
            <w:tcBorders>
              <w:top w:val="nil"/>
              <w:left w:val="nil"/>
              <w:bottom w:val="nil"/>
              <w:right w:val="single" w:color="auto" w:sz="4" w:space="0"/>
            </w:tcBorders>
            <w:shd w:val="clear" w:color="auto" w:fill="auto"/>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公务来往车辆</w:t>
            </w:r>
          </w:p>
        </w:tc>
        <w:tc>
          <w:tcPr>
            <w:tcW w:w="2698" w:type="dxa"/>
            <w:tcBorders>
              <w:top w:val="nil"/>
              <w:left w:val="nil"/>
              <w:bottom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行政楼一楼南侧车位</w:t>
            </w:r>
          </w:p>
        </w:tc>
        <w:tc>
          <w:tcPr>
            <w:tcW w:w="1278" w:type="dxa"/>
            <w:tcBorders>
              <w:top w:val="nil"/>
              <w:left w:val="nil"/>
              <w:bottom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11</w:t>
            </w:r>
          </w:p>
        </w:tc>
        <w:tc>
          <w:tcPr>
            <w:tcW w:w="1969"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c>
          <w:tcPr>
            <w:tcW w:w="1891" w:type="dxa"/>
            <w:vMerge w:val="continue"/>
            <w:tcBorders>
              <w:left w:val="nil"/>
              <w:right w:val="single" w:color="auto" w:sz="4" w:space="0"/>
            </w:tcBorders>
            <w:shd w:val="clear" w:color="auto" w:fill="auto"/>
            <w:noWrap/>
            <w:vAlign w:val="center"/>
          </w:tcPr>
          <w:p>
            <w:pPr>
              <w:widowControl/>
              <w:jc w:val="center"/>
              <w:textAlignment w:val="center"/>
              <w:rPr>
                <w:rFonts w:ascii="仿宋" w:hAnsi="仿宋" w:eastAsia="仿宋" w:cs="等线"/>
                <w:color w:val="000000"/>
                <w:szCs w:val="21"/>
              </w:rPr>
            </w:pPr>
          </w:p>
        </w:tc>
      </w:tr>
      <w:tr>
        <w:tblPrEx>
          <w:tblCellMar>
            <w:top w:w="0" w:type="dxa"/>
            <w:left w:w="108" w:type="dxa"/>
            <w:bottom w:w="0" w:type="dxa"/>
            <w:right w:w="108" w:type="dxa"/>
          </w:tblCellMar>
        </w:tblPrEx>
        <w:trPr>
          <w:trHeight w:val="802"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6</w:t>
            </w:r>
          </w:p>
        </w:tc>
        <w:tc>
          <w:tcPr>
            <w:tcW w:w="9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救护车</w:t>
            </w:r>
          </w:p>
        </w:tc>
        <w:tc>
          <w:tcPr>
            <w:tcW w:w="269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行政楼一楼南侧车位</w:t>
            </w:r>
          </w:p>
        </w:tc>
        <w:tc>
          <w:tcPr>
            <w:tcW w:w="12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6</w:t>
            </w:r>
          </w:p>
        </w:tc>
        <w:tc>
          <w:tcPr>
            <w:tcW w:w="1969" w:type="dxa"/>
            <w:vMerge w:val="continue"/>
            <w:tcBorders>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p>
        </w:tc>
        <w:tc>
          <w:tcPr>
            <w:tcW w:w="1891" w:type="dxa"/>
            <w:vMerge w:val="continue"/>
            <w:tcBorders>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等线"/>
                <w:color w:val="000000"/>
                <w:kern w:val="0"/>
                <w:szCs w:val="21"/>
              </w:rPr>
            </w:pPr>
          </w:p>
        </w:tc>
      </w:tr>
    </w:tbl>
    <w:p>
      <w:pPr>
        <w:jc w:val="left"/>
        <w:outlineLvl w:val="0"/>
        <w:rPr>
          <w:rFonts w:ascii="仿宋" w:hAnsi="仿宋" w:eastAsia="仿宋" w:cs="宋体"/>
          <w:b/>
          <w:szCs w:val="21"/>
        </w:rPr>
      </w:pPr>
    </w:p>
    <w:p>
      <w:pPr>
        <w:numPr>
          <w:ilvl w:val="0"/>
          <w:numId w:val="6"/>
        </w:numPr>
        <w:spacing w:line="480" w:lineRule="auto"/>
        <w:jc w:val="left"/>
        <w:outlineLvl w:val="0"/>
        <w:rPr>
          <w:rFonts w:ascii="仿宋" w:hAnsi="仿宋" w:eastAsia="仿宋" w:cs="宋体"/>
          <w:b/>
          <w:szCs w:val="21"/>
        </w:rPr>
      </w:pPr>
      <w:r>
        <w:rPr>
          <w:rFonts w:hint="eastAsia" w:ascii="仿宋" w:hAnsi="仿宋" w:eastAsia="仿宋" w:cs="宋体"/>
          <w:b/>
          <w:szCs w:val="21"/>
        </w:rPr>
        <w:t>费用测算</w:t>
      </w:r>
    </w:p>
    <w:p>
      <w:pPr>
        <w:numPr>
          <w:ilvl w:val="0"/>
          <w:numId w:val="10"/>
        </w:numPr>
        <w:tabs>
          <w:tab w:val="center" w:pos="4153"/>
          <w:tab w:val="left" w:pos="6597"/>
        </w:tabs>
        <w:spacing w:line="360" w:lineRule="auto"/>
        <w:outlineLvl w:val="0"/>
        <w:rPr>
          <w:rFonts w:ascii="仿宋" w:hAnsi="仿宋" w:eastAsia="仿宋" w:cs="宋体"/>
          <w:b/>
          <w:bCs/>
          <w:szCs w:val="21"/>
        </w:rPr>
      </w:pPr>
      <w:r>
        <w:rPr>
          <w:rFonts w:hint="eastAsia" w:ascii="仿宋" w:hAnsi="仿宋" w:eastAsia="仿宋" w:cs="宋体"/>
          <w:b/>
          <w:bCs/>
          <w:szCs w:val="21"/>
        </w:rPr>
        <w:t>停车场管理人员配置及人工成本费用开支</w:t>
      </w:r>
    </w:p>
    <w:p>
      <w:pPr>
        <w:tabs>
          <w:tab w:val="center" w:pos="4153"/>
          <w:tab w:val="left" w:pos="6597"/>
        </w:tabs>
        <w:spacing w:line="360" w:lineRule="auto"/>
        <w:ind w:left="630" w:leftChars="300"/>
        <w:rPr>
          <w:rFonts w:ascii="仿宋" w:hAnsi="仿宋" w:eastAsia="仿宋" w:cs="宋体"/>
          <w:szCs w:val="21"/>
        </w:rPr>
      </w:pPr>
      <w:r>
        <w:rPr>
          <w:rFonts w:hint="eastAsia" w:ascii="仿宋" w:hAnsi="仿宋" w:eastAsia="仿宋" w:cs="宋体"/>
          <w:szCs w:val="21"/>
        </w:rPr>
        <w:t>根据现有物业合同人工单价测算</w:t>
      </w:r>
    </w:p>
    <w:tbl>
      <w:tblPr>
        <w:tblStyle w:val="13"/>
        <w:tblW w:w="9240" w:type="dxa"/>
        <w:tblInd w:w="93" w:type="dxa"/>
        <w:tblLayout w:type="autofit"/>
        <w:tblCellMar>
          <w:top w:w="0" w:type="dxa"/>
          <w:left w:w="108" w:type="dxa"/>
          <w:bottom w:w="0" w:type="dxa"/>
          <w:right w:w="108" w:type="dxa"/>
        </w:tblCellMar>
      </w:tblPr>
      <w:tblGrid>
        <w:gridCol w:w="656"/>
        <w:gridCol w:w="1261"/>
        <w:gridCol w:w="1057"/>
        <w:gridCol w:w="778"/>
        <w:gridCol w:w="1076"/>
        <w:gridCol w:w="1542"/>
        <w:gridCol w:w="2870"/>
      </w:tblGrid>
      <w:tr>
        <w:tblPrEx>
          <w:tblCellMar>
            <w:top w:w="0" w:type="dxa"/>
            <w:left w:w="108" w:type="dxa"/>
            <w:bottom w:w="0" w:type="dxa"/>
            <w:right w:w="108" w:type="dxa"/>
          </w:tblCellMar>
        </w:tblPrEx>
        <w:trPr>
          <w:trHeight w:val="790" w:hRule="atLeast"/>
        </w:trPr>
        <w:tc>
          <w:tcPr>
            <w:tcW w:w="924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成本支出费用测算</w:t>
            </w:r>
          </w:p>
        </w:tc>
      </w:tr>
      <w:tr>
        <w:tblPrEx>
          <w:tblCellMar>
            <w:top w:w="0" w:type="dxa"/>
            <w:left w:w="108" w:type="dxa"/>
            <w:bottom w:w="0" w:type="dxa"/>
            <w:right w:w="108" w:type="dxa"/>
          </w:tblCellMar>
        </w:tblPrEx>
        <w:trPr>
          <w:trHeight w:val="790" w:hRule="atLeast"/>
        </w:trPr>
        <w:tc>
          <w:tcPr>
            <w:tcW w:w="656"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序号</w:t>
            </w:r>
          </w:p>
        </w:tc>
        <w:tc>
          <w:tcPr>
            <w:tcW w:w="1261"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项目名称</w:t>
            </w:r>
          </w:p>
        </w:tc>
        <w:tc>
          <w:tcPr>
            <w:tcW w:w="1057"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测算依据</w:t>
            </w:r>
          </w:p>
        </w:tc>
        <w:tc>
          <w:tcPr>
            <w:tcW w:w="778"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标准</w:t>
            </w:r>
          </w:p>
        </w:tc>
        <w:tc>
          <w:tcPr>
            <w:tcW w:w="1076"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月支出（元）</w:t>
            </w:r>
          </w:p>
        </w:tc>
        <w:tc>
          <w:tcPr>
            <w:tcW w:w="1542"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年支出（元）</w:t>
            </w:r>
          </w:p>
        </w:tc>
        <w:tc>
          <w:tcPr>
            <w:tcW w:w="287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备注</w:t>
            </w:r>
          </w:p>
        </w:tc>
      </w:tr>
      <w:tr>
        <w:tblPrEx>
          <w:tblCellMar>
            <w:top w:w="0" w:type="dxa"/>
            <w:left w:w="108" w:type="dxa"/>
            <w:bottom w:w="0" w:type="dxa"/>
            <w:right w:w="108" w:type="dxa"/>
          </w:tblCellMar>
        </w:tblPrEx>
        <w:trPr>
          <w:trHeight w:val="1016"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1</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安全员、收费员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3515</w:t>
            </w:r>
          </w:p>
        </w:tc>
        <w:tc>
          <w:tcPr>
            <w:tcW w:w="10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42180</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 xml:space="preserve">506160.00 </w:t>
            </w:r>
          </w:p>
        </w:tc>
        <w:tc>
          <w:tcPr>
            <w:tcW w:w="2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月休4天</w:t>
            </w:r>
          </w:p>
        </w:tc>
      </w:tr>
      <w:tr>
        <w:tblPrEx>
          <w:tblCellMar>
            <w:top w:w="0" w:type="dxa"/>
            <w:left w:w="108" w:type="dxa"/>
            <w:bottom w:w="0" w:type="dxa"/>
            <w:right w:w="108" w:type="dxa"/>
          </w:tblCellMar>
        </w:tblPrEx>
        <w:trPr>
          <w:trHeight w:val="411"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2</w:t>
            </w:r>
          </w:p>
        </w:tc>
        <w:tc>
          <w:tcPr>
            <w:tcW w:w="12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车场主管</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4600</w:t>
            </w:r>
          </w:p>
        </w:tc>
        <w:tc>
          <w:tcPr>
            <w:tcW w:w="10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4600</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 xml:space="preserve">55200.00 </w:t>
            </w:r>
          </w:p>
        </w:tc>
        <w:tc>
          <w:tcPr>
            <w:tcW w:w="28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45" w:hRule="atLeast"/>
        </w:trPr>
        <w:tc>
          <w:tcPr>
            <w:tcW w:w="19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合计：</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13</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46780</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561360</w:t>
            </w:r>
          </w:p>
        </w:tc>
        <w:tc>
          <w:tcPr>
            <w:tcW w:w="28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bl>
    <w:p>
      <w:pPr>
        <w:numPr>
          <w:ilvl w:val="0"/>
          <w:numId w:val="10"/>
        </w:numPr>
        <w:tabs>
          <w:tab w:val="center" w:pos="4153"/>
          <w:tab w:val="left" w:pos="6597"/>
        </w:tabs>
        <w:spacing w:line="360" w:lineRule="auto"/>
        <w:outlineLvl w:val="0"/>
        <w:rPr>
          <w:rFonts w:ascii="仿宋" w:hAnsi="仿宋" w:eastAsia="仿宋" w:cs="宋体"/>
          <w:b/>
          <w:bCs/>
          <w:szCs w:val="21"/>
        </w:rPr>
      </w:pPr>
      <w:bookmarkStart w:id="9" w:name="_Toc98150588"/>
      <w:bookmarkStart w:id="10" w:name="_Toc25004"/>
      <w:bookmarkStart w:id="11" w:name="_Toc14278"/>
      <w:r>
        <w:rPr>
          <w:rFonts w:hint="eastAsia" w:ascii="仿宋" w:hAnsi="仿宋" w:eastAsia="仿宋" w:cs="宋体"/>
          <w:b/>
          <w:bCs/>
          <w:szCs w:val="21"/>
        </w:rPr>
        <w:t>停车收费收入预算</w:t>
      </w:r>
      <w:bookmarkEnd w:id="9"/>
      <w:bookmarkEnd w:id="10"/>
      <w:bookmarkEnd w:id="11"/>
      <w:r>
        <w:rPr>
          <w:rFonts w:hint="eastAsia" w:ascii="仿宋" w:hAnsi="仿宋" w:eastAsia="仿宋" w:cs="宋体"/>
          <w:b/>
          <w:bCs/>
          <w:szCs w:val="21"/>
        </w:rPr>
        <w:t>（发改局收费指导收费标准为依据）</w:t>
      </w:r>
    </w:p>
    <w:tbl>
      <w:tblPr>
        <w:tblStyle w:val="13"/>
        <w:tblW w:w="9212" w:type="dxa"/>
        <w:tblInd w:w="91" w:type="dxa"/>
        <w:tblLayout w:type="fixed"/>
        <w:tblCellMar>
          <w:top w:w="0" w:type="dxa"/>
          <w:left w:w="108" w:type="dxa"/>
          <w:bottom w:w="0" w:type="dxa"/>
          <w:right w:w="108" w:type="dxa"/>
        </w:tblCellMar>
      </w:tblPr>
      <w:tblGrid>
        <w:gridCol w:w="661"/>
        <w:gridCol w:w="1366"/>
        <w:gridCol w:w="965"/>
        <w:gridCol w:w="782"/>
        <w:gridCol w:w="1079"/>
        <w:gridCol w:w="1306"/>
        <w:gridCol w:w="1323"/>
        <w:gridCol w:w="1730"/>
      </w:tblGrid>
      <w:tr>
        <w:tblPrEx>
          <w:tblCellMar>
            <w:top w:w="0" w:type="dxa"/>
            <w:left w:w="108" w:type="dxa"/>
            <w:bottom w:w="0" w:type="dxa"/>
            <w:right w:w="108" w:type="dxa"/>
          </w:tblCellMar>
        </w:tblPrEx>
        <w:trPr>
          <w:trHeight w:val="659" w:hRule="atLeast"/>
        </w:trPr>
        <w:tc>
          <w:tcPr>
            <w:tcW w:w="6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序号</w:t>
            </w:r>
          </w:p>
        </w:tc>
        <w:tc>
          <w:tcPr>
            <w:tcW w:w="1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项目名称</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车位数</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类型</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收费标准元/天</w:t>
            </w:r>
          </w:p>
        </w:tc>
        <w:tc>
          <w:tcPr>
            <w:tcW w:w="13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收入元/月</w:t>
            </w:r>
          </w:p>
        </w:tc>
        <w:tc>
          <w:tcPr>
            <w:tcW w:w="13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收入元/年</w:t>
            </w:r>
          </w:p>
        </w:tc>
        <w:tc>
          <w:tcPr>
            <w:tcW w:w="17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备注</w:t>
            </w:r>
          </w:p>
        </w:tc>
      </w:tr>
      <w:tr>
        <w:tblPrEx>
          <w:tblCellMar>
            <w:top w:w="0" w:type="dxa"/>
            <w:left w:w="108" w:type="dxa"/>
            <w:bottom w:w="0" w:type="dxa"/>
            <w:right w:w="108" w:type="dxa"/>
          </w:tblCellMar>
        </w:tblPrEx>
        <w:trPr>
          <w:trHeight w:val="2012" w:hRule="atLeast"/>
        </w:trPr>
        <w:tc>
          <w:tcPr>
            <w:tcW w:w="661"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1</w:t>
            </w:r>
          </w:p>
        </w:tc>
        <w:tc>
          <w:tcPr>
            <w:tcW w:w="1366"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患者就医临停车辆</w:t>
            </w:r>
          </w:p>
        </w:tc>
        <w:tc>
          <w:tcPr>
            <w:tcW w:w="965"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约</w:t>
            </w:r>
            <w:r>
              <w:rPr>
                <w:rFonts w:ascii="仿宋" w:hAnsi="仿宋" w:eastAsia="仿宋" w:cs="宋体"/>
                <w:color w:val="000000"/>
                <w:kern w:val="0"/>
                <w:szCs w:val="21"/>
                <w:highlight w:val="yellow"/>
              </w:rPr>
              <w:t>200</w:t>
            </w:r>
          </w:p>
        </w:tc>
        <w:tc>
          <w:tcPr>
            <w:tcW w:w="782" w:type="dxa"/>
            <w:tcBorders>
              <w:top w:val="nil"/>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highlight w:val="yellow"/>
              </w:rPr>
            </w:pPr>
          </w:p>
        </w:tc>
        <w:tc>
          <w:tcPr>
            <w:tcW w:w="1079"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6</w:t>
            </w:r>
          </w:p>
        </w:tc>
        <w:tc>
          <w:tcPr>
            <w:tcW w:w="13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36000</w:t>
            </w:r>
          </w:p>
        </w:tc>
        <w:tc>
          <w:tcPr>
            <w:tcW w:w="1323"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432000</w:t>
            </w:r>
          </w:p>
        </w:tc>
        <w:tc>
          <w:tcPr>
            <w:tcW w:w="173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根据发改局指导收费标准及住院量/门诊量预估大概收费车辆数为200辆，平均停放时长3小时</w:t>
            </w:r>
          </w:p>
        </w:tc>
      </w:tr>
      <w:tr>
        <w:tblPrEx>
          <w:tblCellMar>
            <w:top w:w="0" w:type="dxa"/>
            <w:left w:w="108" w:type="dxa"/>
            <w:bottom w:w="0" w:type="dxa"/>
            <w:right w:w="108" w:type="dxa"/>
          </w:tblCellMar>
        </w:tblPrEx>
        <w:trPr>
          <w:trHeight w:val="659" w:hRule="atLeast"/>
        </w:trPr>
        <w:tc>
          <w:tcPr>
            <w:tcW w:w="661"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2</w:t>
            </w:r>
          </w:p>
        </w:tc>
        <w:tc>
          <w:tcPr>
            <w:tcW w:w="13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非服务对象临时车辆</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30</w:t>
            </w:r>
          </w:p>
        </w:tc>
        <w:tc>
          <w:tcPr>
            <w:tcW w:w="7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kern w:val="0"/>
                <w:szCs w:val="21"/>
                <w:highlight w:val="yellow"/>
              </w:rPr>
              <w:t>临时卡</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hint="eastAsia" w:ascii="仿宋" w:hAnsi="仿宋" w:eastAsia="仿宋" w:cs="宋体"/>
                <w:color w:val="000000"/>
                <w:szCs w:val="21"/>
                <w:highlight w:val="yellow"/>
              </w:rPr>
              <w:t>1</w:t>
            </w:r>
            <w:r>
              <w:rPr>
                <w:rFonts w:ascii="仿宋" w:hAnsi="仿宋" w:eastAsia="仿宋" w:cs="宋体"/>
                <w:color w:val="000000"/>
                <w:szCs w:val="21"/>
                <w:highlight w:val="yellow"/>
              </w:rPr>
              <w:t>2</w:t>
            </w:r>
          </w:p>
        </w:tc>
        <w:tc>
          <w:tcPr>
            <w:tcW w:w="13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ascii="仿宋" w:hAnsi="仿宋" w:eastAsia="仿宋" w:cs="宋体"/>
                <w:color w:val="000000"/>
                <w:kern w:val="0"/>
                <w:szCs w:val="21"/>
                <w:highlight w:val="yellow"/>
              </w:rPr>
              <w:t>10800</w:t>
            </w:r>
          </w:p>
        </w:tc>
        <w:tc>
          <w:tcPr>
            <w:tcW w:w="1323"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highlight w:val="yellow"/>
              </w:rPr>
            </w:pPr>
            <w:r>
              <w:rPr>
                <w:rFonts w:ascii="仿宋" w:hAnsi="仿宋" w:eastAsia="仿宋" w:cs="宋体"/>
                <w:color w:val="000000"/>
                <w:kern w:val="0"/>
                <w:szCs w:val="21"/>
                <w:highlight w:val="yellow"/>
              </w:rPr>
              <w:t>129600</w:t>
            </w:r>
          </w:p>
        </w:tc>
        <w:tc>
          <w:tcPr>
            <w:tcW w:w="17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highlight w:val="yellow"/>
              </w:rPr>
            </w:pPr>
            <w:r>
              <w:rPr>
                <w:rFonts w:hint="eastAsia" w:ascii="仿宋" w:hAnsi="仿宋" w:eastAsia="仿宋" w:cs="宋体"/>
                <w:color w:val="000000"/>
                <w:szCs w:val="21"/>
                <w:highlight w:val="yellow"/>
              </w:rPr>
              <w:t>发改局指导收费标准</w:t>
            </w:r>
          </w:p>
        </w:tc>
      </w:tr>
      <w:tr>
        <w:tblPrEx>
          <w:tblCellMar>
            <w:top w:w="0" w:type="dxa"/>
            <w:left w:w="108" w:type="dxa"/>
            <w:bottom w:w="0" w:type="dxa"/>
            <w:right w:w="108" w:type="dxa"/>
          </w:tblCellMar>
        </w:tblPrEx>
        <w:trPr>
          <w:trHeight w:val="507" w:hRule="atLeast"/>
        </w:trPr>
        <w:tc>
          <w:tcPr>
            <w:tcW w:w="4853"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 w:hAnsi="仿宋" w:eastAsia="仿宋" w:cs="宋体"/>
                <w:b/>
                <w:bCs/>
                <w:color w:val="000000"/>
                <w:szCs w:val="21"/>
                <w:highlight w:val="yellow"/>
              </w:rPr>
            </w:pPr>
            <w:r>
              <w:rPr>
                <w:rFonts w:hint="eastAsia" w:ascii="仿宋" w:hAnsi="仿宋" w:eastAsia="仿宋" w:cs="宋体"/>
                <w:b/>
                <w:bCs/>
                <w:color w:val="000000"/>
                <w:kern w:val="0"/>
                <w:szCs w:val="21"/>
                <w:highlight w:val="yellow"/>
              </w:rPr>
              <w:t>合计：</w:t>
            </w:r>
          </w:p>
        </w:tc>
        <w:tc>
          <w:tcPr>
            <w:tcW w:w="13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宋体"/>
                <w:color w:val="000000"/>
                <w:szCs w:val="21"/>
                <w:highlight w:val="yellow"/>
                <w:lang w:val="en-US" w:eastAsia="zh-CN"/>
              </w:rPr>
            </w:pPr>
            <w:r>
              <w:rPr>
                <w:rFonts w:hint="eastAsia" w:ascii="仿宋" w:hAnsi="仿宋" w:eastAsia="仿宋" w:cs="宋体"/>
                <w:color w:val="000000"/>
                <w:szCs w:val="21"/>
                <w:highlight w:val="yellow"/>
                <w:lang w:val="en-US" w:eastAsia="zh-CN"/>
              </w:rPr>
              <w:t>46800</w:t>
            </w:r>
          </w:p>
        </w:tc>
        <w:tc>
          <w:tcPr>
            <w:tcW w:w="13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宋体"/>
                <w:b/>
                <w:bCs/>
                <w:color w:val="000000"/>
                <w:szCs w:val="21"/>
                <w:highlight w:val="yellow"/>
                <w:lang w:val="en-US" w:eastAsia="zh-CN"/>
              </w:rPr>
            </w:pPr>
            <w:r>
              <w:rPr>
                <w:rFonts w:hint="eastAsia" w:ascii="仿宋" w:hAnsi="仿宋" w:eastAsia="仿宋" w:cs="宋体"/>
                <w:b/>
                <w:bCs/>
                <w:color w:val="000000"/>
                <w:szCs w:val="21"/>
                <w:highlight w:val="yellow"/>
                <w:lang w:val="en-US" w:eastAsia="zh-CN"/>
              </w:rPr>
              <w:t>561600</w:t>
            </w:r>
          </w:p>
        </w:tc>
        <w:tc>
          <w:tcPr>
            <w:tcW w:w="17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highlight w:val="yellow"/>
              </w:rPr>
            </w:pPr>
          </w:p>
        </w:tc>
      </w:tr>
    </w:tbl>
    <w:p>
      <w:pPr>
        <w:numPr>
          <w:ilvl w:val="0"/>
          <w:numId w:val="10"/>
        </w:numPr>
        <w:tabs>
          <w:tab w:val="center" w:pos="4153"/>
          <w:tab w:val="left" w:pos="6597"/>
        </w:tabs>
        <w:spacing w:line="360" w:lineRule="auto"/>
        <w:outlineLvl w:val="0"/>
        <w:rPr>
          <w:rFonts w:ascii="仿宋" w:hAnsi="仿宋" w:eastAsia="仿宋" w:cs="宋体"/>
          <w:b/>
          <w:bCs/>
          <w:szCs w:val="21"/>
        </w:rPr>
      </w:pPr>
      <w:bookmarkStart w:id="12" w:name="_Toc9391"/>
      <w:bookmarkStart w:id="13" w:name="_Toc24784"/>
      <w:bookmarkStart w:id="14" w:name="_Toc98150589"/>
      <w:r>
        <w:rPr>
          <w:rFonts w:hint="eastAsia" w:ascii="仿宋" w:hAnsi="仿宋" w:eastAsia="仿宋" w:cs="宋体"/>
          <w:b/>
          <w:bCs/>
          <w:szCs w:val="21"/>
        </w:rPr>
        <w:t>停车场系统管理及改造升级</w:t>
      </w:r>
      <w:bookmarkEnd w:id="12"/>
      <w:bookmarkEnd w:id="13"/>
      <w:bookmarkEnd w:id="14"/>
    </w:p>
    <w:tbl>
      <w:tblPr>
        <w:tblStyle w:val="13"/>
        <w:tblW w:w="9187" w:type="dxa"/>
        <w:tblInd w:w="93" w:type="dxa"/>
        <w:tblLayout w:type="autofit"/>
        <w:tblCellMar>
          <w:top w:w="0" w:type="dxa"/>
          <w:left w:w="108" w:type="dxa"/>
          <w:bottom w:w="0" w:type="dxa"/>
          <w:right w:w="108" w:type="dxa"/>
        </w:tblCellMar>
      </w:tblPr>
      <w:tblGrid>
        <w:gridCol w:w="1545"/>
        <w:gridCol w:w="1332"/>
        <w:gridCol w:w="1545"/>
        <w:gridCol w:w="1066"/>
        <w:gridCol w:w="1066"/>
        <w:gridCol w:w="1066"/>
        <w:gridCol w:w="1567"/>
      </w:tblGrid>
      <w:tr>
        <w:tblPrEx>
          <w:tblCellMar>
            <w:top w:w="0" w:type="dxa"/>
            <w:left w:w="108" w:type="dxa"/>
            <w:bottom w:w="0" w:type="dxa"/>
            <w:right w:w="108" w:type="dxa"/>
          </w:tblCellMar>
        </w:tblPrEx>
        <w:trPr>
          <w:trHeight w:val="495" w:hRule="atLeast"/>
        </w:trPr>
        <w:tc>
          <w:tcPr>
            <w:tcW w:w="9187"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停车场系统管理及改造升级项目汇总</w:t>
            </w:r>
          </w:p>
        </w:tc>
      </w:tr>
      <w:tr>
        <w:tblPrEx>
          <w:tblCellMar>
            <w:top w:w="0" w:type="dxa"/>
            <w:left w:w="108" w:type="dxa"/>
            <w:bottom w:w="0" w:type="dxa"/>
            <w:right w:w="108" w:type="dxa"/>
          </w:tblCellMar>
        </w:tblPrEx>
        <w:trPr>
          <w:trHeight w:val="31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序号</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物品名称</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规格</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数量</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单价元</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总价元</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备注</w:t>
            </w:r>
          </w:p>
        </w:tc>
      </w:tr>
      <w:tr>
        <w:tblPrEx>
          <w:tblCellMar>
            <w:top w:w="0" w:type="dxa"/>
            <w:left w:w="108" w:type="dxa"/>
            <w:bottom w:w="0" w:type="dxa"/>
            <w:right w:w="108" w:type="dxa"/>
          </w:tblCellMar>
        </w:tblPrEx>
        <w:trPr>
          <w:trHeight w:val="31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道闸摄像头</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1500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15000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1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车位引导系统</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100000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r>
              <w:rPr>
                <w:rFonts w:hint="eastAsia" w:ascii="仿宋" w:hAnsi="仿宋" w:eastAsia="仿宋" w:cs="宋体"/>
                <w:color w:val="000000"/>
                <w:szCs w:val="21"/>
              </w:rPr>
              <w:t>另附咨询报价预计10万以内</w:t>
            </w:r>
          </w:p>
        </w:tc>
      </w:tr>
      <w:tr>
        <w:tblPrEx>
          <w:tblCellMar>
            <w:top w:w="0" w:type="dxa"/>
            <w:left w:w="108" w:type="dxa"/>
            <w:bottom w:w="0" w:type="dxa"/>
            <w:right w:w="108" w:type="dxa"/>
          </w:tblCellMar>
        </w:tblPrEx>
        <w:trPr>
          <w:trHeight w:val="31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3</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限高</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00"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4</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限速</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1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5</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禁止鸣笛</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00"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6</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直行</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1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7</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向前与左右转方向</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10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1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8</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左右转方向</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00"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9</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出口</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90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450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00"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1</w:t>
            </w:r>
            <w:r>
              <w:rPr>
                <w:rFonts w:ascii="仿宋" w:hAnsi="仿宋" w:eastAsia="仿宋" w:cs="宋体"/>
                <w:color w:val="000000"/>
                <w:szCs w:val="21"/>
              </w:rPr>
              <w:t>0</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往负二楼停车场</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60*40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140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280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00"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1</w:t>
            </w:r>
            <w:r>
              <w:rPr>
                <w:rFonts w:ascii="仿宋" w:hAnsi="仿宋" w:eastAsia="仿宋" w:cs="宋体"/>
                <w:color w:val="000000"/>
                <w:szCs w:val="21"/>
              </w:rPr>
              <w:t>1</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往负二楼出口</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120*40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140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280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55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2</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地库电梯科室去向指引</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szCs w:val="21"/>
              </w:rPr>
              <w:t>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140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2800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28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3</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立柱干</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165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330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28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4</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注意行人</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80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800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55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5</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上下坡道反光板</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20*150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285" w:hRule="atLeast"/>
        </w:trPr>
        <w:tc>
          <w:tcPr>
            <w:tcW w:w="1545" w:type="dxa"/>
            <w:vMerge w:val="restart"/>
            <w:tcBorders>
              <w:top w:val="single" w:color="000000" w:sz="4" w:space="0"/>
              <w:left w:val="single" w:color="000000" w:sz="4" w:space="0"/>
              <w:right w:val="single" w:color="000000" w:sz="4" w:space="0"/>
            </w:tcBorders>
            <w:noWrap/>
            <w:vAlign w:val="center"/>
          </w:tcPr>
          <w:p>
            <w:pPr>
              <w:jc w:val="center"/>
              <w:rPr>
                <w:rFonts w:ascii="仿宋" w:hAnsi="仿宋" w:eastAsia="仿宋" w:cs="宋体"/>
                <w:color w:val="000000"/>
                <w:szCs w:val="21"/>
              </w:rPr>
            </w:pPr>
            <w:r>
              <w:rPr>
                <w:rFonts w:hint="eastAsia" w:ascii="仿宋" w:hAnsi="仿宋" w:eastAsia="仿宋" w:cs="宋体"/>
                <w:color w:val="000000"/>
                <w:szCs w:val="21"/>
              </w:rPr>
              <w:t>1</w:t>
            </w:r>
            <w:r>
              <w:rPr>
                <w:rFonts w:ascii="仿宋" w:hAnsi="仿宋" w:eastAsia="仿宋" w:cs="宋体"/>
                <w:color w:val="000000"/>
                <w:szCs w:val="21"/>
              </w:rPr>
              <w:t>6</w:t>
            </w:r>
          </w:p>
        </w:tc>
        <w:tc>
          <w:tcPr>
            <w:tcW w:w="133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柱子刷漆直引</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240*80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175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67</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11725</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285" w:hRule="atLeast"/>
        </w:trPr>
        <w:tc>
          <w:tcPr>
            <w:tcW w:w="1545" w:type="dxa"/>
            <w:vMerge w:val="continue"/>
            <w:tcBorders>
              <w:left w:val="single" w:color="000000" w:sz="4" w:space="0"/>
              <w:right w:val="single" w:color="000000" w:sz="4" w:space="0"/>
            </w:tcBorders>
            <w:noWrap/>
            <w:vAlign w:val="center"/>
          </w:tcPr>
          <w:p>
            <w:pPr>
              <w:jc w:val="center"/>
              <w:rPr>
                <w:rFonts w:ascii="仿宋" w:hAnsi="仿宋" w:eastAsia="仿宋" w:cs="宋体"/>
                <w:color w:val="000000"/>
                <w:szCs w:val="21"/>
              </w:rPr>
            </w:pPr>
          </w:p>
        </w:tc>
        <w:tc>
          <w:tcPr>
            <w:tcW w:w="13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360*80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100.8</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1209.6</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20" w:hRule="atLeast"/>
        </w:trPr>
        <w:tc>
          <w:tcPr>
            <w:tcW w:w="1545" w:type="dxa"/>
            <w:vMerge w:val="continue"/>
            <w:tcBorders>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c>
          <w:tcPr>
            <w:tcW w:w="13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640*120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8</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268.8</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2150.4</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28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7</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慢行</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60*60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250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28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8</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零星修缮</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每年</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20000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17"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9</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凸透镜</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75cm</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320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6400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28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ascii="仿宋" w:hAnsi="仿宋" w:eastAsia="仿宋" w:cs="宋体"/>
                <w:color w:val="000000"/>
                <w:kern w:val="0"/>
                <w:szCs w:val="21"/>
              </w:rPr>
              <w:t>20</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车辆道闸外移</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ascii="仿宋" w:hAnsi="仿宋" w:eastAsia="仿宋" w:cs="宋体"/>
                <w:color w:val="000000"/>
                <w:kern w:val="0"/>
                <w:szCs w:val="21"/>
              </w:rPr>
              <w:t>20000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285"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21</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停车场公共责任险</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20000/年</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r>
              <w:rPr>
                <w:rFonts w:hint="eastAsia" w:ascii="仿宋" w:hAnsi="仿宋" w:eastAsia="仿宋" w:cs="宋体"/>
                <w:color w:val="000000"/>
                <w:szCs w:val="21"/>
              </w:rPr>
              <w:t>市场咨询价</w:t>
            </w:r>
          </w:p>
        </w:tc>
      </w:tr>
      <w:tr>
        <w:tblPrEx>
          <w:tblCellMar>
            <w:top w:w="0" w:type="dxa"/>
            <w:left w:w="108" w:type="dxa"/>
            <w:bottom w:w="0" w:type="dxa"/>
            <w:right w:w="108" w:type="dxa"/>
          </w:tblCellMar>
        </w:tblPrEx>
        <w:trPr>
          <w:trHeight w:val="340" w:hRule="atLeast"/>
        </w:trPr>
        <w:tc>
          <w:tcPr>
            <w:tcW w:w="655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合计</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20</w:t>
            </w:r>
            <w:r>
              <w:rPr>
                <w:rFonts w:ascii="仿宋" w:hAnsi="仿宋" w:eastAsia="仿宋" w:cs="宋体"/>
                <w:b/>
                <w:bCs/>
                <w:color w:val="000000"/>
                <w:kern w:val="0"/>
                <w:szCs w:val="21"/>
              </w:rPr>
              <w:t>6975</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340" w:hRule="atLeast"/>
        </w:trPr>
        <w:tc>
          <w:tcPr>
            <w:tcW w:w="655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kern w:val="0"/>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宋体"/>
                <w:b/>
                <w:bCs/>
                <w:color w:val="000000"/>
                <w:kern w:val="0"/>
                <w:szCs w:val="21"/>
              </w:rPr>
            </w:pPr>
          </w:p>
        </w:tc>
        <w:tc>
          <w:tcPr>
            <w:tcW w:w="15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1140" w:hRule="atLeast"/>
        </w:trPr>
        <w:tc>
          <w:tcPr>
            <w:tcW w:w="9187" w:type="dxa"/>
            <w:gridSpan w:val="7"/>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说明：车场保险预估价20000元/年，根据目前测算盈亏=车场收入-人工成本-停车场升级改造前期投入-车场保险-营业税</w:t>
            </w:r>
          </w:p>
        </w:tc>
      </w:tr>
    </w:tbl>
    <w:p>
      <w:pPr>
        <w:jc w:val="left"/>
        <w:rPr>
          <w:rFonts w:ascii="仿宋" w:hAnsi="仿宋" w:eastAsia="仿宋"/>
          <w:szCs w:val="21"/>
        </w:rPr>
      </w:pPr>
    </w:p>
    <w:p>
      <w:pPr>
        <w:jc w:val="left"/>
        <w:rPr>
          <w:rFonts w:ascii="仿宋" w:hAnsi="仿宋" w:eastAsia="仿宋"/>
          <w:szCs w:val="21"/>
        </w:rPr>
      </w:pPr>
    </w:p>
    <w:tbl>
      <w:tblPr>
        <w:tblStyle w:val="13"/>
        <w:tblW w:w="9220" w:type="dxa"/>
        <w:tblInd w:w="93" w:type="dxa"/>
        <w:tblLayout w:type="fixed"/>
        <w:tblCellMar>
          <w:top w:w="0" w:type="dxa"/>
          <w:left w:w="108" w:type="dxa"/>
          <w:bottom w:w="0" w:type="dxa"/>
          <w:right w:w="108" w:type="dxa"/>
        </w:tblCellMar>
      </w:tblPr>
      <w:tblGrid>
        <w:gridCol w:w="1122"/>
        <w:gridCol w:w="1104"/>
        <w:gridCol w:w="972"/>
        <w:gridCol w:w="1513"/>
        <w:gridCol w:w="963"/>
        <w:gridCol w:w="1059"/>
        <w:gridCol w:w="1122"/>
        <w:gridCol w:w="1365"/>
      </w:tblGrid>
      <w:tr>
        <w:trPr>
          <w:trHeight w:val="850" w:hRule="atLeast"/>
        </w:trPr>
        <w:tc>
          <w:tcPr>
            <w:tcW w:w="922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车位引导系统市场咨询报价</w:t>
            </w:r>
          </w:p>
        </w:tc>
      </w:tr>
      <w:tr>
        <w:tblPrEx>
          <w:tblCellMar>
            <w:top w:w="0" w:type="dxa"/>
            <w:left w:w="108" w:type="dxa"/>
            <w:bottom w:w="0" w:type="dxa"/>
            <w:right w:w="108" w:type="dxa"/>
          </w:tblCellMar>
        </w:tblPrEx>
        <w:trPr>
          <w:trHeight w:val="1201" w:hRule="atLeast"/>
        </w:trPr>
        <w:tc>
          <w:tcPr>
            <w:tcW w:w="1122" w:type="dxa"/>
            <w:tcBorders>
              <w:top w:val="nil"/>
              <w:left w:val="single" w:color="auto" w:sz="4" w:space="0"/>
              <w:bottom w:val="nil"/>
              <w:right w:val="single" w:color="auto" w:sz="4" w:space="0"/>
            </w:tcBorders>
            <w:shd w:val="clear" w:color="000000" w:fill="C00000"/>
            <w:vAlign w:val="center"/>
          </w:tcPr>
          <w:p>
            <w:pPr>
              <w:widowControl/>
              <w:jc w:val="center"/>
              <w:textAlignment w:val="center"/>
              <w:rPr>
                <w:rFonts w:ascii="仿宋" w:hAnsi="仿宋" w:eastAsia="仿宋" w:cs="微软雅黑"/>
                <w:b/>
                <w:bCs/>
                <w:color w:val="FFFFFF"/>
                <w:szCs w:val="21"/>
              </w:rPr>
            </w:pPr>
            <w:r>
              <w:rPr>
                <w:rFonts w:hint="eastAsia" w:ascii="仿宋" w:hAnsi="仿宋" w:eastAsia="仿宋" w:cs="微软雅黑"/>
                <w:b/>
                <w:bCs/>
                <w:color w:val="FFFFFF"/>
                <w:kern w:val="0"/>
                <w:szCs w:val="21"/>
              </w:rPr>
              <w:t>序号</w:t>
            </w:r>
          </w:p>
        </w:tc>
        <w:tc>
          <w:tcPr>
            <w:tcW w:w="1104" w:type="dxa"/>
            <w:tcBorders>
              <w:top w:val="nil"/>
              <w:left w:val="nil"/>
              <w:bottom w:val="nil"/>
              <w:right w:val="single" w:color="auto" w:sz="4" w:space="0"/>
            </w:tcBorders>
            <w:shd w:val="clear" w:color="000000" w:fill="C00000"/>
            <w:vAlign w:val="center"/>
          </w:tcPr>
          <w:p>
            <w:pPr>
              <w:widowControl/>
              <w:jc w:val="center"/>
              <w:textAlignment w:val="center"/>
              <w:rPr>
                <w:rFonts w:ascii="仿宋" w:hAnsi="仿宋" w:eastAsia="仿宋" w:cs="微软雅黑"/>
                <w:b/>
                <w:bCs/>
                <w:color w:val="FFFFFF"/>
                <w:szCs w:val="21"/>
              </w:rPr>
            </w:pPr>
            <w:r>
              <w:rPr>
                <w:rFonts w:hint="eastAsia" w:ascii="仿宋" w:hAnsi="仿宋" w:eastAsia="仿宋" w:cs="微软雅黑"/>
                <w:b/>
                <w:bCs/>
                <w:color w:val="FFFFFF"/>
                <w:kern w:val="0"/>
                <w:szCs w:val="21"/>
              </w:rPr>
              <w:t>商品名称</w:t>
            </w:r>
          </w:p>
        </w:tc>
        <w:tc>
          <w:tcPr>
            <w:tcW w:w="972" w:type="dxa"/>
            <w:tcBorders>
              <w:top w:val="nil"/>
              <w:left w:val="nil"/>
              <w:bottom w:val="nil"/>
              <w:right w:val="single" w:color="auto" w:sz="4" w:space="0"/>
            </w:tcBorders>
            <w:shd w:val="clear" w:color="000000" w:fill="C00000"/>
            <w:vAlign w:val="center"/>
          </w:tcPr>
          <w:p>
            <w:pPr>
              <w:widowControl/>
              <w:jc w:val="center"/>
              <w:textAlignment w:val="center"/>
              <w:rPr>
                <w:rFonts w:ascii="仿宋" w:hAnsi="仿宋" w:eastAsia="仿宋" w:cs="微软雅黑"/>
                <w:b/>
                <w:bCs/>
                <w:color w:val="FFFFFF"/>
                <w:szCs w:val="21"/>
              </w:rPr>
            </w:pPr>
            <w:r>
              <w:rPr>
                <w:rFonts w:hint="eastAsia" w:ascii="仿宋" w:hAnsi="仿宋" w:eastAsia="仿宋" w:cs="微软雅黑"/>
                <w:b/>
                <w:bCs/>
                <w:color w:val="FFFFFF"/>
                <w:kern w:val="0"/>
                <w:szCs w:val="21"/>
              </w:rPr>
              <w:t>品牌</w:t>
            </w:r>
          </w:p>
        </w:tc>
        <w:tc>
          <w:tcPr>
            <w:tcW w:w="1513" w:type="dxa"/>
            <w:tcBorders>
              <w:top w:val="nil"/>
              <w:left w:val="nil"/>
              <w:bottom w:val="nil"/>
              <w:right w:val="single" w:color="auto" w:sz="4" w:space="0"/>
            </w:tcBorders>
            <w:shd w:val="clear" w:color="000000" w:fill="C00000"/>
            <w:vAlign w:val="center"/>
          </w:tcPr>
          <w:p>
            <w:pPr>
              <w:widowControl/>
              <w:jc w:val="center"/>
              <w:textAlignment w:val="center"/>
              <w:rPr>
                <w:rFonts w:ascii="仿宋" w:hAnsi="仿宋" w:eastAsia="仿宋" w:cs="微软雅黑"/>
                <w:b/>
                <w:bCs/>
                <w:color w:val="FFFFFF"/>
                <w:szCs w:val="21"/>
              </w:rPr>
            </w:pPr>
            <w:r>
              <w:rPr>
                <w:rFonts w:hint="eastAsia" w:ascii="仿宋" w:hAnsi="仿宋" w:eastAsia="仿宋" w:cs="微软雅黑"/>
                <w:b/>
                <w:bCs/>
                <w:color w:val="FFFFFF"/>
                <w:kern w:val="0"/>
                <w:szCs w:val="21"/>
              </w:rPr>
              <w:t>型号</w:t>
            </w:r>
          </w:p>
        </w:tc>
        <w:tc>
          <w:tcPr>
            <w:tcW w:w="963" w:type="dxa"/>
            <w:tcBorders>
              <w:top w:val="nil"/>
              <w:left w:val="nil"/>
              <w:bottom w:val="nil"/>
              <w:right w:val="single" w:color="auto" w:sz="4" w:space="0"/>
            </w:tcBorders>
            <w:shd w:val="clear" w:color="000000" w:fill="C00000"/>
            <w:vAlign w:val="center"/>
          </w:tcPr>
          <w:p>
            <w:pPr>
              <w:widowControl/>
              <w:jc w:val="center"/>
              <w:textAlignment w:val="center"/>
              <w:rPr>
                <w:rFonts w:ascii="仿宋" w:hAnsi="仿宋" w:eastAsia="仿宋" w:cs="微软雅黑"/>
                <w:b/>
                <w:bCs/>
                <w:color w:val="FFFFFF"/>
                <w:szCs w:val="21"/>
              </w:rPr>
            </w:pPr>
            <w:r>
              <w:rPr>
                <w:rFonts w:hint="eastAsia" w:ascii="仿宋" w:hAnsi="仿宋" w:eastAsia="仿宋" w:cs="微软雅黑"/>
                <w:b/>
                <w:bCs/>
                <w:color w:val="FFFFFF"/>
                <w:kern w:val="0"/>
                <w:szCs w:val="21"/>
              </w:rPr>
              <w:t>单位</w:t>
            </w:r>
          </w:p>
        </w:tc>
        <w:tc>
          <w:tcPr>
            <w:tcW w:w="1059" w:type="dxa"/>
            <w:tcBorders>
              <w:top w:val="nil"/>
              <w:left w:val="nil"/>
              <w:bottom w:val="nil"/>
              <w:right w:val="single" w:color="auto" w:sz="4" w:space="0"/>
            </w:tcBorders>
            <w:shd w:val="clear" w:color="000000" w:fill="C00000"/>
            <w:vAlign w:val="center"/>
          </w:tcPr>
          <w:p>
            <w:pPr>
              <w:widowControl/>
              <w:jc w:val="center"/>
              <w:textAlignment w:val="center"/>
              <w:rPr>
                <w:rFonts w:ascii="仿宋" w:hAnsi="仿宋" w:eastAsia="仿宋" w:cs="微软雅黑"/>
                <w:b/>
                <w:bCs/>
                <w:color w:val="FFFFFF"/>
                <w:szCs w:val="21"/>
              </w:rPr>
            </w:pPr>
            <w:r>
              <w:rPr>
                <w:rFonts w:hint="eastAsia" w:ascii="仿宋" w:hAnsi="仿宋" w:eastAsia="仿宋" w:cs="微软雅黑"/>
                <w:b/>
                <w:bCs/>
                <w:color w:val="FFFFFF"/>
                <w:kern w:val="0"/>
                <w:szCs w:val="21"/>
              </w:rPr>
              <w:t>数量</w:t>
            </w:r>
          </w:p>
        </w:tc>
        <w:tc>
          <w:tcPr>
            <w:tcW w:w="1122" w:type="dxa"/>
            <w:tcBorders>
              <w:top w:val="nil"/>
              <w:left w:val="nil"/>
              <w:bottom w:val="nil"/>
              <w:right w:val="single" w:color="auto" w:sz="4" w:space="0"/>
            </w:tcBorders>
            <w:shd w:val="clear" w:color="000000" w:fill="C00000"/>
            <w:vAlign w:val="center"/>
          </w:tcPr>
          <w:p>
            <w:pPr>
              <w:widowControl/>
              <w:jc w:val="center"/>
              <w:textAlignment w:val="center"/>
              <w:rPr>
                <w:rFonts w:ascii="仿宋" w:hAnsi="仿宋" w:eastAsia="仿宋" w:cs="微软雅黑"/>
                <w:b/>
                <w:bCs/>
                <w:color w:val="FFFFFF"/>
                <w:szCs w:val="21"/>
              </w:rPr>
            </w:pPr>
            <w:r>
              <w:rPr>
                <w:rFonts w:hint="eastAsia" w:ascii="仿宋" w:hAnsi="仿宋" w:eastAsia="仿宋" w:cs="微软雅黑"/>
                <w:b/>
                <w:bCs/>
                <w:color w:val="FFFFFF"/>
                <w:kern w:val="0"/>
                <w:szCs w:val="21"/>
              </w:rPr>
              <w:t>单价(元)</w:t>
            </w:r>
          </w:p>
        </w:tc>
        <w:tc>
          <w:tcPr>
            <w:tcW w:w="1365" w:type="dxa"/>
            <w:tcBorders>
              <w:top w:val="nil"/>
              <w:left w:val="nil"/>
              <w:bottom w:val="nil"/>
              <w:right w:val="single" w:color="auto" w:sz="4" w:space="0"/>
            </w:tcBorders>
            <w:shd w:val="clear" w:color="000000" w:fill="C00000"/>
            <w:vAlign w:val="center"/>
          </w:tcPr>
          <w:p>
            <w:pPr>
              <w:widowControl/>
              <w:jc w:val="center"/>
              <w:textAlignment w:val="center"/>
              <w:rPr>
                <w:rFonts w:ascii="仿宋" w:hAnsi="仿宋" w:eastAsia="仿宋" w:cs="微软雅黑"/>
                <w:b/>
                <w:bCs/>
                <w:color w:val="FFFFFF"/>
                <w:szCs w:val="21"/>
              </w:rPr>
            </w:pPr>
            <w:r>
              <w:rPr>
                <w:rFonts w:hint="eastAsia" w:ascii="仿宋" w:hAnsi="仿宋" w:eastAsia="仿宋" w:cs="微软雅黑"/>
                <w:b/>
                <w:bCs/>
                <w:color w:val="FFFFFF"/>
                <w:kern w:val="0"/>
                <w:szCs w:val="21"/>
              </w:rPr>
              <w:t>合价(元)</w:t>
            </w:r>
          </w:p>
        </w:tc>
      </w:tr>
      <w:tr>
        <w:tblPrEx>
          <w:tblCellMar>
            <w:top w:w="0" w:type="dxa"/>
            <w:left w:w="108" w:type="dxa"/>
            <w:bottom w:w="0" w:type="dxa"/>
            <w:right w:w="108" w:type="dxa"/>
          </w:tblCellMar>
        </w:tblPrEx>
        <w:trPr>
          <w:trHeight w:val="442" w:hRule="atLeast"/>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1</w:t>
            </w:r>
          </w:p>
        </w:tc>
        <w:tc>
          <w:tcPr>
            <w:tcW w:w="110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车辆识别仪</w:t>
            </w:r>
          </w:p>
        </w:tc>
        <w:tc>
          <w:tcPr>
            <w:tcW w:w="97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集泰锦</w:t>
            </w:r>
          </w:p>
        </w:tc>
        <w:tc>
          <w:tcPr>
            <w:tcW w:w="1513"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JTJ-CAREYE-08</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台</w:t>
            </w:r>
          </w:p>
        </w:tc>
        <w:tc>
          <w:tcPr>
            <w:tcW w:w="1059"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15</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3500</w:t>
            </w:r>
          </w:p>
        </w:tc>
        <w:tc>
          <w:tcPr>
            <w:tcW w:w="136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52500</w:t>
            </w:r>
          </w:p>
        </w:tc>
      </w:tr>
      <w:tr>
        <w:tblPrEx>
          <w:tblCellMar>
            <w:top w:w="0" w:type="dxa"/>
            <w:left w:w="108" w:type="dxa"/>
            <w:bottom w:w="0" w:type="dxa"/>
            <w:right w:w="108" w:type="dxa"/>
          </w:tblCellMar>
        </w:tblPrEx>
        <w:trPr>
          <w:trHeight w:val="442"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2</w:t>
            </w:r>
          </w:p>
        </w:tc>
        <w:tc>
          <w:tcPr>
            <w:tcW w:w="11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立柱</w:t>
            </w:r>
          </w:p>
        </w:tc>
        <w:tc>
          <w:tcPr>
            <w:tcW w:w="9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国产</w:t>
            </w:r>
          </w:p>
        </w:tc>
        <w:tc>
          <w:tcPr>
            <w:tcW w:w="151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96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个</w:t>
            </w:r>
          </w:p>
        </w:tc>
        <w:tc>
          <w:tcPr>
            <w:tcW w:w="10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10</w:t>
            </w:r>
          </w:p>
        </w:tc>
        <w:tc>
          <w:tcPr>
            <w:tcW w:w="112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80</w:t>
            </w:r>
          </w:p>
        </w:tc>
        <w:tc>
          <w:tcPr>
            <w:tcW w:w="13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800</w:t>
            </w:r>
          </w:p>
        </w:tc>
      </w:tr>
      <w:tr>
        <w:tblPrEx>
          <w:tblCellMar>
            <w:top w:w="0" w:type="dxa"/>
            <w:left w:w="108" w:type="dxa"/>
            <w:bottom w:w="0" w:type="dxa"/>
            <w:right w:w="108" w:type="dxa"/>
          </w:tblCellMar>
        </w:tblPrEx>
        <w:trPr>
          <w:trHeight w:val="442"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3</w:t>
            </w:r>
          </w:p>
        </w:tc>
        <w:tc>
          <w:tcPr>
            <w:tcW w:w="11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车位引导牌</w:t>
            </w:r>
          </w:p>
        </w:tc>
        <w:tc>
          <w:tcPr>
            <w:tcW w:w="9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集泰锦</w:t>
            </w:r>
          </w:p>
        </w:tc>
        <w:tc>
          <w:tcPr>
            <w:tcW w:w="151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JTJ-CARDISP-08</w:t>
            </w:r>
          </w:p>
        </w:tc>
        <w:tc>
          <w:tcPr>
            <w:tcW w:w="96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台</w:t>
            </w:r>
          </w:p>
        </w:tc>
        <w:tc>
          <w:tcPr>
            <w:tcW w:w="10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10</w:t>
            </w:r>
          </w:p>
        </w:tc>
        <w:tc>
          <w:tcPr>
            <w:tcW w:w="112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2800</w:t>
            </w:r>
          </w:p>
        </w:tc>
        <w:tc>
          <w:tcPr>
            <w:tcW w:w="13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28000</w:t>
            </w:r>
          </w:p>
        </w:tc>
      </w:tr>
      <w:tr>
        <w:tblPrEx>
          <w:tblCellMar>
            <w:top w:w="0" w:type="dxa"/>
            <w:left w:w="108" w:type="dxa"/>
            <w:bottom w:w="0" w:type="dxa"/>
            <w:right w:w="108" w:type="dxa"/>
          </w:tblCellMar>
        </w:tblPrEx>
        <w:trPr>
          <w:trHeight w:val="442"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4</w:t>
            </w:r>
          </w:p>
        </w:tc>
        <w:tc>
          <w:tcPr>
            <w:tcW w:w="11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网线</w:t>
            </w:r>
          </w:p>
        </w:tc>
        <w:tc>
          <w:tcPr>
            <w:tcW w:w="9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国产</w:t>
            </w:r>
          </w:p>
        </w:tc>
        <w:tc>
          <w:tcPr>
            <w:tcW w:w="151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96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米</w:t>
            </w:r>
          </w:p>
        </w:tc>
        <w:tc>
          <w:tcPr>
            <w:tcW w:w="10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600</w:t>
            </w:r>
          </w:p>
        </w:tc>
        <w:tc>
          <w:tcPr>
            <w:tcW w:w="112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4</w:t>
            </w:r>
          </w:p>
        </w:tc>
        <w:tc>
          <w:tcPr>
            <w:tcW w:w="13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2400</w:t>
            </w:r>
          </w:p>
        </w:tc>
      </w:tr>
      <w:tr>
        <w:tblPrEx>
          <w:tblCellMar>
            <w:top w:w="0" w:type="dxa"/>
            <w:left w:w="108" w:type="dxa"/>
            <w:bottom w:w="0" w:type="dxa"/>
            <w:right w:w="108" w:type="dxa"/>
          </w:tblCellMar>
        </w:tblPrEx>
        <w:trPr>
          <w:trHeight w:val="442"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5</w:t>
            </w:r>
          </w:p>
        </w:tc>
        <w:tc>
          <w:tcPr>
            <w:tcW w:w="11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电源线</w:t>
            </w:r>
          </w:p>
        </w:tc>
        <w:tc>
          <w:tcPr>
            <w:tcW w:w="9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国产</w:t>
            </w:r>
          </w:p>
        </w:tc>
        <w:tc>
          <w:tcPr>
            <w:tcW w:w="151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96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米</w:t>
            </w:r>
          </w:p>
        </w:tc>
        <w:tc>
          <w:tcPr>
            <w:tcW w:w="10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500</w:t>
            </w:r>
          </w:p>
        </w:tc>
        <w:tc>
          <w:tcPr>
            <w:tcW w:w="112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5</w:t>
            </w:r>
          </w:p>
        </w:tc>
        <w:tc>
          <w:tcPr>
            <w:tcW w:w="13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2500</w:t>
            </w:r>
          </w:p>
        </w:tc>
      </w:tr>
      <w:tr>
        <w:tblPrEx>
          <w:tblCellMar>
            <w:top w:w="0" w:type="dxa"/>
            <w:left w:w="108" w:type="dxa"/>
            <w:bottom w:w="0" w:type="dxa"/>
            <w:right w:w="108" w:type="dxa"/>
          </w:tblCellMar>
        </w:tblPrEx>
        <w:trPr>
          <w:trHeight w:val="442"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6</w:t>
            </w:r>
          </w:p>
        </w:tc>
        <w:tc>
          <w:tcPr>
            <w:tcW w:w="11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PVC管</w:t>
            </w:r>
          </w:p>
        </w:tc>
        <w:tc>
          <w:tcPr>
            <w:tcW w:w="9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国产</w:t>
            </w:r>
          </w:p>
        </w:tc>
        <w:tc>
          <w:tcPr>
            <w:tcW w:w="151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96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米</w:t>
            </w:r>
          </w:p>
        </w:tc>
        <w:tc>
          <w:tcPr>
            <w:tcW w:w="10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600</w:t>
            </w:r>
          </w:p>
        </w:tc>
        <w:tc>
          <w:tcPr>
            <w:tcW w:w="112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2.5</w:t>
            </w:r>
          </w:p>
        </w:tc>
        <w:tc>
          <w:tcPr>
            <w:tcW w:w="13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1500</w:t>
            </w:r>
          </w:p>
        </w:tc>
      </w:tr>
      <w:tr>
        <w:trPr>
          <w:trHeight w:val="442"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7</w:t>
            </w:r>
          </w:p>
        </w:tc>
        <w:tc>
          <w:tcPr>
            <w:tcW w:w="11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交换机</w:t>
            </w:r>
          </w:p>
        </w:tc>
        <w:tc>
          <w:tcPr>
            <w:tcW w:w="9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国产</w:t>
            </w:r>
          </w:p>
        </w:tc>
        <w:tc>
          <w:tcPr>
            <w:tcW w:w="151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96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台</w:t>
            </w:r>
          </w:p>
        </w:tc>
        <w:tc>
          <w:tcPr>
            <w:tcW w:w="10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5</w:t>
            </w:r>
          </w:p>
        </w:tc>
        <w:tc>
          <w:tcPr>
            <w:tcW w:w="112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125</w:t>
            </w:r>
          </w:p>
        </w:tc>
        <w:tc>
          <w:tcPr>
            <w:tcW w:w="13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625</w:t>
            </w:r>
          </w:p>
        </w:tc>
      </w:tr>
      <w:tr>
        <w:tblPrEx>
          <w:tblCellMar>
            <w:top w:w="0" w:type="dxa"/>
            <w:left w:w="108" w:type="dxa"/>
            <w:bottom w:w="0" w:type="dxa"/>
            <w:right w:w="108" w:type="dxa"/>
          </w:tblCellMar>
        </w:tblPrEx>
        <w:trPr>
          <w:trHeight w:val="442"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8</w:t>
            </w:r>
          </w:p>
        </w:tc>
        <w:tc>
          <w:tcPr>
            <w:tcW w:w="11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软件</w:t>
            </w:r>
          </w:p>
        </w:tc>
        <w:tc>
          <w:tcPr>
            <w:tcW w:w="9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w:t>
            </w:r>
          </w:p>
        </w:tc>
        <w:tc>
          <w:tcPr>
            <w:tcW w:w="151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J</w:t>
            </w:r>
            <w:r>
              <w:rPr>
                <w:rStyle w:val="29"/>
                <w:rFonts w:hint="default" w:ascii="仿宋" w:hAnsi="仿宋" w:eastAsia="仿宋"/>
                <w:sz w:val="21"/>
                <w:szCs w:val="21"/>
              </w:rPr>
              <w:t>TJ-CARS20</w:t>
            </w:r>
          </w:p>
        </w:tc>
        <w:tc>
          <w:tcPr>
            <w:tcW w:w="96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套</w:t>
            </w:r>
          </w:p>
        </w:tc>
        <w:tc>
          <w:tcPr>
            <w:tcW w:w="10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1</w:t>
            </w:r>
          </w:p>
        </w:tc>
        <w:tc>
          <w:tcPr>
            <w:tcW w:w="112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6000</w:t>
            </w:r>
          </w:p>
        </w:tc>
        <w:tc>
          <w:tcPr>
            <w:tcW w:w="13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6000</w:t>
            </w:r>
          </w:p>
        </w:tc>
      </w:tr>
      <w:tr>
        <w:tblPrEx>
          <w:tblCellMar>
            <w:top w:w="0" w:type="dxa"/>
            <w:left w:w="108" w:type="dxa"/>
            <w:bottom w:w="0" w:type="dxa"/>
            <w:right w:w="108" w:type="dxa"/>
          </w:tblCellMar>
        </w:tblPrEx>
        <w:trPr>
          <w:trHeight w:val="442"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9</w:t>
            </w:r>
          </w:p>
        </w:tc>
        <w:tc>
          <w:tcPr>
            <w:tcW w:w="11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调试费</w:t>
            </w:r>
          </w:p>
        </w:tc>
        <w:tc>
          <w:tcPr>
            <w:tcW w:w="9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151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96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套</w:t>
            </w:r>
          </w:p>
        </w:tc>
        <w:tc>
          <w:tcPr>
            <w:tcW w:w="10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1</w:t>
            </w:r>
          </w:p>
        </w:tc>
        <w:tc>
          <w:tcPr>
            <w:tcW w:w="112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800</w:t>
            </w:r>
          </w:p>
        </w:tc>
        <w:tc>
          <w:tcPr>
            <w:tcW w:w="13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800</w:t>
            </w:r>
          </w:p>
        </w:tc>
      </w:tr>
      <w:tr>
        <w:tblPrEx>
          <w:tblCellMar>
            <w:top w:w="0" w:type="dxa"/>
            <w:left w:w="108" w:type="dxa"/>
            <w:bottom w:w="0" w:type="dxa"/>
            <w:right w:w="108" w:type="dxa"/>
          </w:tblCellMar>
        </w:tblPrEx>
        <w:trPr>
          <w:trHeight w:val="477" w:hRule="atLeast"/>
        </w:trPr>
        <w:tc>
          <w:tcPr>
            <w:tcW w:w="112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合计(元)：</w:t>
            </w:r>
          </w:p>
        </w:tc>
        <w:tc>
          <w:tcPr>
            <w:tcW w:w="11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97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151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96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105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112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微软雅黑"/>
                <w:szCs w:val="21"/>
              </w:rPr>
            </w:pPr>
            <w:r>
              <w:rPr>
                <w:rFonts w:hint="eastAsia" w:ascii="仿宋" w:hAnsi="仿宋" w:eastAsia="仿宋" w:cs="微软雅黑"/>
                <w:kern w:val="0"/>
                <w:szCs w:val="21"/>
              </w:rPr>
              <w:t>　</w:t>
            </w:r>
          </w:p>
        </w:tc>
        <w:tc>
          <w:tcPr>
            <w:tcW w:w="13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微软雅黑"/>
                <w:szCs w:val="21"/>
              </w:rPr>
            </w:pPr>
            <w:r>
              <w:rPr>
                <w:rFonts w:hint="eastAsia" w:ascii="仿宋" w:hAnsi="仿宋" w:eastAsia="仿宋" w:cs="微软雅黑"/>
                <w:kern w:val="0"/>
                <w:szCs w:val="21"/>
              </w:rPr>
              <w:t>95125</w:t>
            </w:r>
          </w:p>
        </w:tc>
      </w:tr>
    </w:tbl>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numPr>
          <w:ilvl w:val="0"/>
          <w:numId w:val="6"/>
        </w:numPr>
        <w:spacing w:line="480" w:lineRule="auto"/>
        <w:jc w:val="left"/>
        <w:outlineLvl w:val="0"/>
        <w:rPr>
          <w:rFonts w:ascii="仿宋" w:hAnsi="仿宋" w:eastAsia="仿宋" w:cs="宋体"/>
          <w:b/>
          <w:szCs w:val="21"/>
        </w:rPr>
      </w:pPr>
      <w:r>
        <w:rPr>
          <w:rFonts w:hint="eastAsia" w:ascii="仿宋" w:hAnsi="仿宋" w:eastAsia="仿宋" w:cs="宋体"/>
          <w:b/>
          <w:szCs w:val="21"/>
        </w:rPr>
        <w:t>中山大学孙逸仙纪念医院深汕中心医院停车场车辆停放告知书</w:t>
      </w:r>
    </w:p>
    <w:p>
      <w:pPr>
        <w:spacing w:line="480" w:lineRule="auto"/>
        <w:ind w:firstLine="420" w:firstLineChars="200"/>
        <w:jc w:val="left"/>
        <w:outlineLvl w:val="0"/>
        <w:rPr>
          <w:rFonts w:ascii="仿宋" w:hAnsi="仿宋" w:eastAsia="仿宋" w:cs="宋体"/>
          <w:bCs/>
          <w:szCs w:val="21"/>
        </w:rPr>
      </w:pPr>
      <w:r>
        <w:rPr>
          <w:rFonts w:hint="eastAsia" w:ascii="仿宋" w:hAnsi="仿宋" w:eastAsia="仿宋" w:cs="宋体"/>
          <w:bCs/>
          <w:szCs w:val="21"/>
        </w:rPr>
        <w:t>为了确保院区车辆停放有序，依据《物业管理条例》及《停车场规划建设和机动车停放管理条例》《中山大学孙逸仙纪念医院深汕中心医院停车场管理规定》等有关规定，特告知如下:</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停车场仅提供车辆停放服务，医院不承担车辆及车内物品安全保管责任，车主自行购买车辆保险。停车时须确认锁好门窗并自行妥善保管贵重物品。在车场内因车辆损毁、盗失车内财物丢失产生的责任和损失由车主自行承担，医院不承担任何赔偿责任。</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车主驾车、停车对院区内环境、设施设备及其他车辆造成损坏的，车主需承担全部赔偿责任。</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车主应将车辆停放在指定位置，严禁停放于人行道，消防通道及贴有禁止停放标志的区域。不得占用场内交通要道、严禁逆行，否则，车主应承担由此引起的一切责任。</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装载有易燃、易爆、剧毒或有污染物源的车辆不得在本车场停放。</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车主须按规定使用停车证，服从管理人员指挥，离场时车主应主动出示停车证，经工作人员核查后方可驶离。</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车场车位收费按公布收费标准收取，车主每个月应按时交费，逾期7日未交费者，医院视为车主自动放弃该车位。</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停车证为一车一证一车位，此证仅为车主本人车辆出入停车场的凭证，不得外借，如发现有转借交换使用情况，医院有权收回停车证并停止提供停车位。</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车主遗失停车证后，应由车主持车辆行驶证和身份证向后勤科保卫办挂失，经后勤科保卫办查实后补办停车证。</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车主应遵守上述规定，如有违反，医院有权单方面终止向车主提供车位使用服务。</w:t>
      </w:r>
    </w:p>
    <w:p>
      <w:pPr>
        <w:numPr>
          <w:ilvl w:val="0"/>
          <w:numId w:val="11"/>
        </w:numPr>
        <w:spacing w:line="480" w:lineRule="auto"/>
        <w:jc w:val="left"/>
        <w:outlineLvl w:val="0"/>
        <w:rPr>
          <w:rFonts w:ascii="仿宋" w:hAnsi="仿宋" w:eastAsia="仿宋" w:cs="宋体"/>
          <w:bCs/>
          <w:szCs w:val="21"/>
        </w:rPr>
      </w:pPr>
      <w:r>
        <w:rPr>
          <w:rFonts w:hint="eastAsia" w:ascii="仿宋" w:hAnsi="仿宋" w:eastAsia="仿宋" w:cs="宋体"/>
          <w:bCs/>
          <w:szCs w:val="21"/>
        </w:rPr>
        <w:t>告知书一式贰份，医院及车主各执壹份。</w:t>
      </w:r>
    </w:p>
    <w:p>
      <w:pPr>
        <w:numPr>
          <w:ilvl w:val="0"/>
          <w:numId w:val="11"/>
        </w:numPr>
        <w:spacing w:line="480" w:lineRule="auto"/>
        <w:jc w:val="left"/>
        <w:outlineLvl w:val="0"/>
        <w:rPr>
          <w:rFonts w:ascii="仿宋" w:hAnsi="仿宋" w:eastAsia="仿宋"/>
          <w:bCs/>
          <w:szCs w:val="21"/>
        </w:rPr>
      </w:pPr>
      <w:r>
        <w:rPr>
          <w:rFonts w:hint="eastAsia" w:ascii="仿宋" w:hAnsi="仿宋" w:eastAsia="仿宋" w:cs="宋体"/>
          <w:bCs/>
          <w:szCs w:val="21"/>
        </w:rPr>
        <w:t>本告知书自签字之日起生效，由中山大学孙逸仙纪念医院深汕中心医院后勤科负责最终解释。</w:t>
      </w:r>
    </w:p>
    <w:p>
      <w:pPr>
        <w:jc w:val="left"/>
        <w:rPr>
          <w:rFonts w:ascii="仿宋" w:hAnsi="仿宋" w:eastAsia="仿宋"/>
          <w:bCs/>
          <w:szCs w:val="21"/>
        </w:rPr>
      </w:pPr>
    </w:p>
    <w:p>
      <w:pPr>
        <w:jc w:val="left"/>
        <w:rPr>
          <w:rFonts w:ascii="仿宋" w:hAnsi="仿宋" w:eastAsia="仿宋"/>
          <w:bCs/>
          <w:szCs w:val="21"/>
        </w:rPr>
      </w:pPr>
    </w:p>
    <w:p>
      <w:pPr>
        <w:spacing w:line="480" w:lineRule="auto"/>
        <w:ind w:firstLine="3150" w:firstLineChars="1500"/>
        <w:rPr>
          <w:rFonts w:ascii="仿宋" w:hAnsi="仿宋" w:eastAsia="仿宋"/>
          <w:bCs/>
          <w:szCs w:val="21"/>
        </w:rPr>
      </w:pPr>
      <w:r>
        <w:rPr>
          <w:rFonts w:hint="eastAsia" w:ascii="仿宋" w:hAnsi="仿宋" w:eastAsia="仿宋"/>
          <w:bCs/>
          <w:szCs w:val="21"/>
        </w:rPr>
        <w:t>签字</w:t>
      </w:r>
    </w:p>
    <w:p>
      <w:pPr>
        <w:spacing w:line="480" w:lineRule="auto"/>
        <w:ind w:firstLine="3150" w:firstLineChars="1500"/>
        <w:rPr>
          <w:rFonts w:ascii="仿宋" w:hAnsi="仿宋" w:eastAsia="仿宋"/>
          <w:bCs/>
          <w:szCs w:val="21"/>
        </w:rPr>
      </w:pPr>
      <w:r>
        <w:rPr>
          <w:rFonts w:hint="eastAsia" w:ascii="仿宋" w:hAnsi="仿宋" w:eastAsia="仿宋"/>
          <w:bCs/>
          <w:szCs w:val="21"/>
        </w:rPr>
        <w:t>车牌号码：           联系电话：</w:t>
      </w:r>
    </w:p>
    <w:p>
      <w:pPr>
        <w:spacing w:line="480" w:lineRule="auto"/>
        <w:ind w:firstLine="3150" w:firstLineChars="1500"/>
        <w:rPr>
          <w:rFonts w:ascii="仿宋" w:hAnsi="仿宋" w:eastAsia="仿宋"/>
          <w:bCs/>
          <w:szCs w:val="21"/>
        </w:rPr>
      </w:pPr>
      <w:r>
        <w:rPr>
          <w:rFonts w:hint="eastAsia" w:ascii="仿宋" w:hAnsi="仿宋" w:eastAsia="仿宋"/>
          <w:bCs/>
          <w:szCs w:val="21"/>
        </w:rPr>
        <w:t>日期：        年     月      日</w:t>
      </w: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jc w:val="left"/>
        <w:rPr>
          <w:rFonts w:ascii="仿宋" w:hAnsi="仿宋" w:eastAsia="仿宋"/>
          <w:bCs/>
          <w:szCs w:val="21"/>
        </w:rPr>
      </w:pPr>
    </w:p>
    <w:p>
      <w:pPr>
        <w:numPr>
          <w:ilvl w:val="0"/>
          <w:numId w:val="6"/>
        </w:numPr>
        <w:spacing w:line="480" w:lineRule="auto"/>
        <w:jc w:val="left"/>
        <w:outlineLvl w:val="0"/>
        <w:rPr>
          <w:rFonts w:ascii="仿宋" w:hAnsi="仿宋" w:eastAsia="仿宋" w:cs="宋体"/>
          <w:b/>
          <w:szCs w:val="21"/>
        </w:rPr>
      </w:pPr>
      <w:r>
        <w:rPr>
          <w:rFonts w:hint="eastAsia" w:ascii="仿宋" w:hAnsi="仿宋" w:eastAsia="仿宋" w:cs="宋体"/>
          <w:b/>
          <w:szCs w:val="21"/>
        </w:rPr>
        <w:t>停车场管理流程图</w:t>
      </w:r>
    </w:p>
    <w:p>
      <w:pPr>
        <w:jc w:val="left"/>
        <w:rPr>
          <w:rFonts w:ascii="仿宋" w:hAnsi="仿宋" w:eastAsia="仿宋"/>
          <w:szCs w:val="21"/>
        </w:rPr>
      </w:pPr>
    </w:p>
    <w:p>
      <w:pPr>
        <w:jc w:val="center"/>
        <w:rPr>
          <w:rFonts w:ascii="仿宋" w:hAnsi="仿宋" w:eastAsia="仿宋" w:cs="宋体"/>
          <w:b/>
          <w:spacing w:val="20"/>
          <w:szCs w:val="21"/>
        </w:rPr>
      </w:pPr>
    </w:p>
    <w:p>
      <w:pPr>
        <w:spacing w:afterLines="100"/>
        <w:jc w:val="left"/>
        <w:outlineLvl w:val="0"/>
        <w:rPr>
          <w:rFonts w:ascii="仿宋" w:hAnsi="仿宋" w:eastAsia="仿宋" w:cs="宋体"/>
          <w:b/>
          <w:szCs w:val="21"/>
        </w:rPr>
      </w:pPr>
      <w:r>
        <w:rPr>
          <w:rFonts w:ascii="仿宋" w:hAnsi="仿宋" w:eastAsia="仿宋" w:cs="宋体"/>
          <w:b/>
          <w:spacing w:val="20"/>
          <w:szCs w:val="21"/>
        </w:rPr>
        <mc:AlternateContent>
          <mc:Choice Requires="wpc">
            <w:drawing>
              <wp:inline distT="0" distB="0" distL="114300" distR="114300">
                <wp:extent cx="6267450" cy="7586345"/>
                <wp:effectExtent l="0" t="0" r="0" b="0"/>
                <wp:docPr id="1"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文本框 4"/>
                        <wps:cNvSpPr txBox="1"/>
                        <wps:spPr>
                          <a:xfrm>
                            <a:off x="1251645" y="110199"/>
                            <a:ext cx="1713719" cy="49512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b/>
                                  <w:sz w:val="28"/>
                                  <w:szCs w:val="28"/>
                                </w:rPr>
                              </w:pPr>
                              <w:r>
                                <w:rPr>
                                  <w:rFonts w:hint="eastAsia" w:ascii="楷体_GB2312" w:eastAsia="楷体_GB2312"/>
                                  <w:b/>
                                  <w:sz w:val="28"/>
                                  <w:szCs w:val="28"/>
                                </w:rPr>
                                <w:t>车辆进入</w:t>
                              </w:r>
                            </w:p>
                          </w:txbxContent>
                        </wps:txbx>
                        <wps:bodyPr upright="1"/>
                      </wps:wsp>
                      <wps:wsp>
                        <wps:cNvPr id="20" name="文本框 5"/>
                        <wps:cNvSpPr txBox="1"/>
                        <wps:spPr>
                          <a:xfrm>
                            <a:off x="1187857" y="923502"/>
                            <a:ext cx="1828848" cy="49512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b/>
                                  <w:sz w:val="24"/>
                                </w:rPr>
                              </w:pPr>
                              <w:r>
                                <w:rPr>
                                  <w:rFonts w:hint="eastAsia" w:ascii="楷体_GB2312" w:eastAsia="楷体_GB2312"/>
                                  <w:b/>
                                  <w:sz w:val="24"/>
                                </w:rPr>
                                <w:t>自动识别车牌放行</w:t>
                              </w:r>
                            </w:p>
                          </w:txbxContent>
                        </wps:txbx>
                        <wps:bodyPr upright="1"/>
                      </wps:wsp>
                      <wps:wsp>
                        <wps:cNvPr id="21" name="文本框 6"/>
                        <wps:cNvSpPr txBox="1"/>
                        <wps:spPr>
                          <a:xfrm>
                            <a:off x="1264091" y="5518508"/>
                            <a:ext cx="1713719" cy="39656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b/>
                                  <w:sz w:val="28"/>
                                  <w:szCs w:val="28"/>
                                </w:rPr>
                              </w:pPr>
                              <w:r>
                                <w:rPr>
                                  <w:rFonts w:hint="eastAsia" w:ascii="楷体_GB2312" w:eastAsia="楷体_GB2312"/>
                                  <w:b/>
                                  <w:sz w:val="28"/>
                                  <w:szCs w:val="28"/>
                                </w:rPr>
                                <w:t>放  行</w:t>
                              </w:r>
                            </w:p>
                          </w:txbxContent>
                        </wps:txbx>
                        <wps:bodyPr upright="1"/>
                      </wps:wsp>
                      <wps:wsp>
                        <wps:cNvPr id="22" name="文本框 7"/>
                        <wps:cNvSpPr txBox="1"/>
                        <wps:spPr>
                          <a:xfrm>
                            <a:off x="1263313" y="4800659"/>
                            <a:ext cx="1713719" cy="39578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b/>
                                  <w:sz w:val="28"/>
                                  <w:szCs w:val="28"/>
                                </w:rPr>
                              </w:pPr>
                              <w:r>
                                <w:rPr>
                                  <w:rFonts w:hint="eastAsia" w:ascii="楷体_GB2312" w:eastAsia="楷体_GB2312"/>
                                  <w:b/>
                                  <w:sz w:val="28"/>
                                  <w:szCs w:val="28"/>
                                </w:rPr>
                                <w:t>给发票</w:t>
                              </w:r>
                            </w:p>
                          </w:txbxContent>
                        </wps:txbx>
                        <wps:bodyPr upright="1"/>
                      </wps:wsp>
                      <wps:wsp>
                        <wps:cNvPr id="23" name="文本框 8"/>
                        <wps:cNvSpPr txBox="1"/>
                        <wps:spPr>
                          <a:xfrm>
                            <a:off x="1247140" y="1654810"/>
                            <a:ext cx="1790065" cy="10140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楷体_GB2312" w:eastAsia="楷体_GB2312"/>
                                  <w:b/>
                                  <w:sz w:val="28"/>
                                  <w:szCs w:val="28"/>
                                </w:rPr>
                              </w:pPr>
                              <w:r>
                                <w:rPr>
                                  <w:rFonts w:hint="eastAsia" w:ascii="楷体_GB2312" w:eastAsia="楷体_GB2312"/>
                                  <w:b/>
                                  <w:sz w:val="28"/>
                                  <w:szCs w:val="28"/>
                                </w:rPr>
                                <w:t>由车辆管理员引导停放停车</w:t>
                              </w:r>
                            </w:p>
                          </w:txbxContent>
                        </wps:txbx>
                        <wps:bodyPr upright="1"/>
                      </wps:wsp>
                      <wps:wsp>
                        <wps:cNvPr id="24" name="文本框 9"/>
                        <wps:cNvSpPr txBox="1"/>
                        <wps:spPr>
                          <a:xfrm>
                            <a:off x="1315433" y="2973832"/>
                            <a:ext cx="1713719" cy="9281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sz w:val="24"/>
                                </w:rPr>
                              </w:pPr>
                              <w:r>
                                <w:rPr>
                                  <w:rFonts w:hint="eastAsia" w:ascii="楷体_GB2312" w:eastAsia="楷体_GB2312"/>
                                  <w:b/>
                                  <w:sz w:val="24"/>
                                </w:rPr>
                                <w:t>离开时自动识别计算收费金额(优惠车辆凭证核验，建议接入院方挂诊系统识别优惠）</w:t>
                              </w:r>
                            </w:p>
                          </w:txbxContent>
                        </wps:txbx>
                        <wps:bodyPr upright="1"/>
                      </wps:wsp>
                      <wps:wsp>
                        <wps:cNvPr id="25" name="文本框 10"/>
                        <wps:cNvSpPr txBox="1"/>
                        <wps:spPr>
                          <a:xfrm>
                            <a:off x="1287428" y="4130926"/>
                            <a:ext cx="1713719" cy="39578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楷体_GB2312" w:eastAsia="楷体_GB2312"/>
                                  <w:b/>
                                  <w:sz w:val="28"/>
                                  <w:szCs w:val="28"/>
                                </w:rPr>
                              </w:pPr>
                              <w:r>
                                <w:rPr>
                                  <w:rFonts w:hint="eastAsia" w:ascii="楷体_GB2312" w:eastAsia="楷体_GB2312"/>
                                  <w:b/>
                                  <w:sz w:val="28"/>
                                  <w:szCs w:val="28"/>
                                </w:rPr>
                                <w:t>收  费</w:t>
                              </w:r>
                            </w:p>
                          </w:txbxContent>
                        </wps:txbx>
                        <wps:bodyPr upright="1"/>
                      </wps:wsp>
                      <wps:wsp>
                        <wps:cNvPr id="26" name="直接连接符 11"/>
                        <wps:cNvCnPr/>
                        <wps:spPr>
                          <a:xfrm>
                            <a:off x="2157901" y="605321"/>
                            <a:ext cx="2334" cy="297228"/>
                          </a:xfrm>
                          <a:prstGeom prst="line">
                            <a:avLst/>
                          </a:prstGeom>
                          <a:ln w="9525" cap="flat" cmpd="sng">
                            <a:solidFill>
                              <a:srgbClr val="000000"/>
                            </a:solidFill>
                            <a:prstDash val="solid"/>
                            <a:headEnd type="none" w="med" len="med"/>
                            <a:tailEnd type="triangle" w="med" len="med"/>
                          </a:ln>
                          <a:effectLst/>
                        </wps:spPr>
                        <wps:bodyPr upright="1"/>
                      </wps:wsp>
                      <wps:wsp>
                        <wps:cNvPr id="27" name="直接连接符 12"/>
                        <wps:cNvCnPr/>
                        <wps:spPr>
                          <a:xfrm>
                            <a:off x="2188239" y="1396894"/>
                            <a:ext cx="778" cy="297228"/>
                          </a:xfrm>
                          <a:prstGeom prst="line">
                            <a:avLst/>
                          </a:prstGeom>
                          <a:ln w="9525" cap="flat" cmpd="sng">
                            <a:solidFill>
                              <a:srgbClr val="000000"/>
                            </a:solidFill>
                            <a:prstDash val="solid"/>
                            <a:headEnd type="none" w="med" len="med"/>
                            <a:tailEnd type="triangle" w="med" len="med"/>
                          </a:ln>
                          <a:effectLst/>
                        </wps:spPr>
                        <wps:bodyPr upright="1"/>
                      </wps:wsp>
                      <wps:wsp>
                        <wps:cNvPr id="28" name="直接连接符 13"/>
                        <wps:cNvCnPr/>
                        <wps:spPr>
                          <a:xfrm>
                            <a:off x="2165985" y="2674620"/>
                            <a:ext cx="635" cy="297180"/>
                          </a:xfrm>
                          <a:prstGeom prst="line">
                            <a:avLst/>
                          </a:prstGeom>
                          <a:ln w="9525" cap="flat" cmpd="sng">
                            <a:solidFill>
                              <a:srgbClr val="000000"/>
                            </a:solidFill>
                            <a:prstDash val="solid"/>
                            <a:headEnd type="none" w="med" len="med"/>
                            <a:tailEnd type="triangle" w="med" len="med"/>
                          </a:ln>
                          <a:effectLst/>
                        </wps:spPr>
                        <wps:bodyPr upright="1"/>
                      </wps:wsp>
                      <wps:wsp>
                        <wps:cNvPr id="29" name="直接连接符 14"/>
                        <wps:cNvCnPr/>
                        <wps:spPr>
                          <a:xfrm>
                            <a:off x="2143121" y="3867069"/>
                            <a:ext cx="1556" cy="297228"/>
                          </a:xfrm>
                          <a:prstGeom prst="line">
                            <a:avLst/>
                          </a:prstGeom>
                          <a:ln w="9525" cap="flat" cmpd="sng">
                            <a:solidFill>
                              <a:srgbClr val="000000"/>
                            </a:solidFill>
                            <a:prstDash val="solid"/>
                            <a:headEnd type="none" w="med" len="med"/>
                            <a:tailEnd type="triangle" w="med" len="med"/>
                          </a:ln>
                          <a:effectLst/>
                        </wps:spPr>
                        <wps:bodyPr upright="1"/>
                      </wps:wsp>
                      <wps:wsp>
                        <wps:cNvPr id="30" name="直接连接符 15"/>
                        <wps:cNvCnPr/>
                        <wps:spPr>
                          <a:xfrm>
                            <a:off x="2127563" y="4537578"/>
                            <a:ext cx="2334" cy="297228"/>
                          </a:xfrm>
                          <a:prstGeom prst="line">
                            <a:avLst/>
                          </a:prstGeom>
                          <a:ln w="9525" cap="flat" cmpd="sng">
                            <a:solidFill>
                              <a:srgbClr val="000000"/>
                            </a:solidFill>
                            <a:prstDash val="solid"/>
                            <a:headEnd type="none" w="med" len="med"/>
                            <a:tailEnd type="triangle" w="med" len="med"/>
                          </a:ln>
                          <a:effectLst/>
                        </wps:spPr>
                        <wps:bodyPr upright="1"/>
                      </wps:wsp>
                      <wps:wsp>
                        <wps:cNvPr id="31" name="直接连接符 16"/>
                        <wps:cNvCnPr/>
                        <wps:spPr>
                          <a:xfrm>
                            <a:off x="2130675" y="5220504"/>
                            <a:ext cx="2334" cy="298004"/>
                          </a:xfrm>
                          <a:prstGeom prst="line">
                            <a:avLst/>
                          </a:prstGeom>
                          <a:ln w="9525" cap="flat" cmpd="sng">
                            <a:solidFill>
                              <a:srgbClr val="000000"/>
                            </a:solidFill>
                            <a:prstDash val="solid"/>
                            <a:headEnd type="none" w="med" len="med"/>
                            <a:tailEnd type="triangle" w="med" len="med"/>
                          </a:ln>
                          <a:effectLst/>
                        </wps:spPr>
                        <wps:bodyPr upright="1"/>
                      </wps:wsp>
                    </wpc:wpc>
                  </a:graphicData>
                </a:graphic>
              </wp:inline>
            </w:drawing>
          </mc:Choice>
          <mc:Fallback>
            <w:pict>
              <v:group id="画布 2" o:spid="_x0000_s1026" o:spt="203" style="height:597.35pt;width:493.5pt;" coordsize="6267450,7586345" editas="canvas" o:gfxdata="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">
                <o:lock v:ext="edit" aspectratio="f"/>
                <v:shape id="画布 2" o:spid="_x0000_s1026" style="position:absolute;left:0;top:0;height:7586345;width:6267450;" filled="f" stroked="f" coordsize="21600,21600" o:gfxdata="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">
                  <v:fill on="f" focussize="0,0"/>
                  <v:stroke on="f"/>
                  <v:imagedata o:title=""/>
                  <o:lock v:ext="edit" aspectratio="t"/>
                </v:shape>
                <v:shape id="文本框 4" o:spid="_x0000_s1026" o:spt="202" type="#_x0000_t202" style="position:absolute;left:1251645;top:110199;height:495121;width:1713719;"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HSCP1QAAAAYBAAAP&#10;AAAAAAAAAAEAIAAAACIAAABkcnMvZG93bnJldi54bWxQSwECFAAUAAAACACHTuJA7/mVBhsCAABQ&#10;BAAADgAAAAAAAAABACAAAAAkAQAAZHJzL2Uyb0RvYy54bWxQSwUGAAAAAAYABgBZAQAAsQUAAAAA&#10;">
                  <v:fill on="t" focussize="0,0"/>
                  <v:stroke color="#000000" joinstyle="miter"/>
                  <v:imagedata o:title=""/>
                  <o:lock v:ext="edit" aspectratio="f"/>
                  <v:textbox>
                    <w:txbxContent>
                      <w:p>
                        <w:pPr>
                          <w:jc w:val="center"/>
                          <w:rPr>
                            <w:rFonts w:ascii="楷体_GB2312" w:eastAsia="楷体_GB2312"/>
                            <w:b/>
                            <w:sz w:val="28"/>
                            <w:szCs w:val="28"/>
                          </w:rPr>
                        </w:pPr>
                        <w:r>
                          <w:rPr>
                            <w:rFonts w:hint="eastAsia" w:ascii="楷体_GB2312" w:eastAsia="楷体_GB2312"/>
                            <w:b/>
                            <w:sz w:val="28"/>
                            <w:szCs w:val="28"/>
                          </w:rPr>
                          <w:t>车辆进入</w:t>
                        </w:r>
                      </w:p>
                    </w:txbxContent>
                  </v:textbox>
                </v:shape>
                <v:shape id="文本框 5" o:spid="_x0000_s1026" o:spt="202" type="#_x0000_t202" style="position:absolute;left:1187857;top:923502;height:495121;width:1828848;"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gdII/VAAAABgEA&#10;AA8AAAAAAAAAAQAgAAAAIgAAAGRycy9kb3ducmV2LnhtbFBLAQIUABQAAAAIAIdO4kDYXTdlHQIA&#10;AFAEAAAOAAAAAAAAAAEAIAAAACQBAABkcnMvZTJvRG9jLnhtbFBLBQYAAAAABgAGAFkBAACzBQAA&#10;AAA=&#10;">
                  <v:fill on="t" focussize="0,0"/>
                  <v:stroke color="#000000" joinstyle="miter"/>
                  <v:imagedata o:title=""/>
                  <o:lock v:ext="edit" aspectratio="f"/>
                  <v:textbox>
                    <w:txbxContent>
                      <w:p>
                        <w:pPr>
                          <w:jc w:val="center"/>
                          <w:rPr>
                            <w:rFonts w:ascii="楷体_GB2312" w:eastAsia="楷体_GB2312"/>
                            <w:b/>
                            <w:sz w:val="24"/>
                          </w:rPr>
                        </w:pPr>
                        <w:r>
                          <w:rPr>
                            <w:rFonts w:hint="eastAsia" w:ascii="楷体_GB2312" w:eastAsia="楷体_GB2312"/>
                            <w:b/>
                            <w:sz w:val="24"/>
                          </w:rPr>
                          <w:t>自动识别车牌放行</w:t>
                        </w:r>
                      </w:p>
                    </w:txbxContent>
                  </v:textbox>
                </v:shape>
                <v:shape id="文本框 6" o:spid="_x0000_s1026" o:spt="202" type="#_x0000_t202" style="position:absolute;left:1264091;top:5518508;height:396563;width:1713719;"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IHSCP1QAAAAYB&#10;AAAPAAAAAAAAAAEAIAAAACIAAABkcnMvZG93bnJldi54bWxQSwECFAAUAAAACACHTuJAda1IFB4C&#10;AABRBAAADgAAAAAAAAABACAAAAAkAQAAZHJzL2Uyb0RvYy54bWxQSwUGAAAAAAYABgBZAQAAtAUA&#10;AAAA&#10;">
                  <v:fill on="t" focussize="0,0"/>
                  <v:stroke color="#000000" joinstyle="miter"/>
                  <v:imagedata o:title=""/>
                  <o:lock v:ext="edit" aspectratio="f"/>
                  <v:textbox>
                    <w:txbxContent>
                      <w:p>
                        <w:pPr>
                          <w:jc w:val="center"/>
                          <w:rPr>
                            <w:rFonts w:ascii="楷体_GB2312" w:eastAsia="楷体_GB2312"/>
                            <w:b/>
                            <w:sz w:val="28"/>
                            <w:szCs w:val="28"/>
                          </w:rPr>
                        </w:pPr>
                        <w:r>
                          <w:rPr>
                            <w:rFonts w:hint="eastAsia" w:ascii="楷体_GB2312" w:eastAsia="楷体_GB2312"/>
                            <w:b/>
                            <w:sz w:val="28"/>
                            <w:szCs w:val="28"/>
                          </w:rPr>
                          <w:t>放  行</w:t>
                        </w:r>
                      </w:p>
                    </w:txbxContent>
                  </v:textbox>
                </v:shape>
                <v:shape id="文本框 7" o:spid="_x0000_s1026" o:spt="202" type="#_x0000_t202" style="position:absolute;left:1263313;top:4800659;height:395787;width:1713719;"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gdII/VAAAA&#10;BgEAAA8AAAAAAAAAAQAgAAAAIgAAAGRycy9kb3ducmV2LnhtbFBLAQIUABQAAAAIAIdO4kB3hSNy&#10;IAIAAFEEAAAOAAAAAAAAAAEAIAAAACQBAABkcnMvZTJvRG9jLnhtbFBLBQYAAAAABgAGAFkBAAC2&#10;BQAAAAA=&#10;">
                  <v:fill on="t" focussize="0,0"/>
                  <v:stroke color="#000000" joinstyle="miter"/>
                  <v:imagedata o:title=""/>
                  <o:lock v:ext="edit" aspectratio="f"/>
                  <v:textbox>
                    <w:txbxContent>
                      <w:p>
                        <w:pPr>
                          <w:jc w:val="center"/>
                          <w:rPr>
                            <w:rFonts w:ascii="楷体_GB2312" w:eastAsia="楷体_GB2312"/>
                            <w:b/>
                            <w:sz w:val="28"/>
                            <w:szCs w:val="28"/>
                          </w:rPr>
                        </w:pPr>
                        <w:r>
                          <w:rPr>
                            <w:rFonts w:hint="eastAsia" w:ascii="楷体_GB2312" w:eastAsia="楷体_GB2312"/>
                            <w:b/>
                            <w:sz w:val="28"/>
                            <w:szCs w:val="28"/>
                          </w:rPr>
                          <w:t>给发票</w:t>
                        </w:r>
                      </w:p>
                    </w:txbxContent>
                  </v:textbox>
                </v:shape>
                <v:shape id="文本框 8" o:spid="_x0000_s1026" o:spt="202" type="#_x0000_t202" style="position:absolute;left:1247140;top:1654810;height:1014095;width:1790065;"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HSCP1QAAAAYBAAAP&#10;AAAAAAAAAAEAIAAAACIAAABkcnMvZG93bnJldi54bWxQSwECFAAUAAAACACHTuJAODuGdxsCAABS&#10;BAAADgAAAAAAAAABACAAAAAkAQAAZHJzL2Uyb0RvYy54bWxQSwUGAAAAAAYABgBZAQAAsQUAAAAA&#10;">
                  <v:fill on="t" focussize="0,0"/>
                  <v:stroke color="#000000" joinstyle="miter"/>
                  <v:imagedata o:title=""/>
                  <o:lock v:ext="edit" aspectratio="f"/>
                  <v:textbox>
                    <w:txbxContent>
                      <w:p>
                        <w:pPr>
                          <w:rPr>
                            <w:rFonts w:ascii="楷体_GB2312" w:eastAsia="楷体_GB2312"/>
                            <w:b/>
                            <w:sz w:val="28"/>
                            <w:szCs w:val="28"/>
                          </w:rPr>
                        </w:pPr>
                        <w:r>
                          <w:rPr>
                            <w:rFonts w:hint="eastAsia" w:ascii="楷体_GB2312" w:eastAsia="楷体_GB2312"/>
                            <w:b/>
                            <w:sz w:val="28"/>
                            <w:szCs w:val="28"/>
                          </w:rPr>
                          <w:t>由车辆管理员引导停放停车</w:t>
                        </w:r>
                      </w:p>
                    </w:txbxContent>
                  </v:textbox>
                </v:shape>
                <v:shape id="文本框 9" o:spid="_x0000_s1026" o:spt="202" type="#_x0000_t202" style="position:absolute;left:1315433;top:2973832;height:928159;width:1713719;"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B0gj9UAAAAG&#10;AQAADwAAAAAAAAABACAAAAAiAAAAZHJzL2Rvd25yZXYueG1sUEsBAhQAFAAAAAgAh07iQPPxNXEf&#10;AgAAUQQAAA4AAAAAAAAAAQAgAAAAJAEAAGRycy9lMm9Eb2MueG1sUEsFBgAAAAAGAAYAWQEAALUF&#10;AAAAAA==&#10;">
                  <v:fill on="t" focussize="0,0"/>
                  <v:stroke color="#000000" joinstyle="miter"/>
                  <v:imagedata o:title=""/>
                  <o:lock v:ext="edit" aspectratio="f"/>
                  <v:textbox>
                    <w:txbxContent>
                      <w:p>
                        <w:pPr>
                          <w:jc w:val="center"/>
                          <w:rPr>
                            <w:rFonts w:ascii="楷体_GB2312" w:eastAsia="楷体_GB2312"/>
                            <w:sz w:val="24"/>
                          </w:rPr>
                        </w:pPr>
                        <w:r>
                          <w:rPr>
                            <w:rFonts w:hint="eastAsia" w:ascii="楷体_GB2312" w:eastAsia="楷体_GB2312"/>
                            <w:b/>
                            <w:sz w:val="24"/>
                          </w:rPr>
                          <w:t>离开时自动识别计算收费金额(优惠车辆凭证核验，建议接入院方挂诊系统识别优惠）</w:t>
                        </w:r>
                      </w:p>
                    </w:txbxContent>
                  </v:textbox>
                </v:shape>
                <v:shape id="文本框 10" o:spid="_x0000_s1026" o:spt="202" type="#_x0000_t202" style="position:absolute;left:1287428;top:4130926;height:395787;width:1713719;" fillcolor="#FFFFFF" filled="t" stroked="t" coordsize="21600,21600" o:gfxdata="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gdII/VAAAABgEA&#10;AA8AAAAAAAAAAQAgAAAAIgAAAGRycy9kb3ducmV2LnhtbFBLAQIUABQAAAAIAIdO4kDa+8kjHQIA&#10;AFIEAAAOAAAAAAAAAAEAIAAAACQBAABkcnMvZTJvRG9jLnhtbFBLBQYAAAAABgAGAFkBAACzBQAA&#10;AAA=&#10;">
                  <v:fill on="t" focussize="0,0"/>
                  <v:stroke color="#000000" joinstyle="miter"/>
                  <v:imagedata o:title=""/>
                  <o:lock v:ext="edit" aspectratio="f"/>
                  <v:textbox>
                    <w:txbxContent>
                      <w:p>
                        <w:pPr>
                          <w:jc w:val="center"/>
                          <w:rPr>
                            <w:rFonts w:ascii="楷体_GB2312" w:eastAsia="楷体_GB2312"/>
                            <w:b/>
                            <w:sz w:val="28"/>
                            <w:szCs w:val="28"/>
                          </w:rPr>
                        </w:pPr>
                        <w:r>
                          <w:rPr>
                            <w:rFonts w:hint="eastAsia" w:ascii="楷体_GB2312" w:eastAsia="楷体_GB2312"/>
                            <w:b/>
                            <w:sz w:val="28"/>
                            <w:szCs w:val="28"/>
                          </w:rPr>
                          <w:t>收  费</w:t>
                        </w:r>
                      </w:p>
                    </w:txbxContent>
                  </v:textbox>
                </v:shape>
                <v:line id="直接连接符 11" o:spid="_x0000_s1026" o:spt="20" style="position:absolute;left:2157901;top:605321;height:297228;width:2334;"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sFp3n1wAAAAYBAAAPAAAAAAAAAAEA&#10;IAAAACIAAABkcnMvZG93bnJldi54bWxQSwECFAAUAAAACACHTuJAH7Z2qhACAAAFBAAADgAAAAAA&#10;AAABACAAAAAmAQAAZHJzL2Uyb0RvYy54bWxQSwUGAAAAAAYABgBZAQAAqAUAAAAA&#10;">
                  <v:fill on="f" focussize="0,0"/>
                  <v:stroke color="#000000" joinstyle="round" endarrow="block"/>
                  <v:imagedata o:title=""/>
                  <o:lock v:ext="edit" aspectratio="f"/>
                </v:line>
                <v:line id="直接连接符 12" o:spid="_x0000_s1026" o:spt="20" style="position:absolute;left:2188239;top:1396894;height:297228;width:778;"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Bad59cAAAAGAQAADwAAAAAAAAAB&#10;ACAAAAAiAAAAZHJzL2Rvd25yZXYueG1sUEsBAhQAFAAAAAgAh07iQCgbciYRAgAABQQAAA4AAAAA&#10;AAAAAQAgAAAAJgEAAGRycy9lMm9Eb2MueG1sUEsFBgAAAAAGAAYAWQEAAKkFAAAAAA==&#10;">
                  <v:fill on="f" focussize="0,0"/>
                  <v:stroke color="#000000" joinstyle="round" endarrow="block"/>
                  <v:imagedata o:title=""/>
                  <o:lock v:ext="edit" aspectratio="f"/>
                </v:line>
                <v:line id="直接连接符 13" o:spid="_x0000_s1026" o:spt="20" style="position:absolute;left:2165985;top:2674620;height:297180;width:635;"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wWnefXAAAABgEAAA8AAAAAAAAAAQAg&#10;AAAAIgAAAGRycy9kb3ducmV2LnhtbFBLAQIUABQAAAAIAIdO4kBZJ6mNDwIAAAUEAAAOAAAAAAAA&#10;AAEAIAAAACYBAABkcnMvZTJvRG9jLnhtbFBLBQYAAAAABgAGAFkBAACnBQAAAAA=&#10;">
                  <v:fill on="f" focussize="0,0"/>
                  <v:stroke color="#000000" joinstyle="round" endarrow="block"/>
                  <v:imagedata o:title=""/>
                  <o:lock v:ext="edit" aspectratio="f"/>
                </v:line>
                <v:line id="直接连接符 14" o:spid="_x0000_s1026" o:spt="20" style="position:absolute;left:2143121;top:3867069;height:297228;width:1556;"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sFp3n1wAAAAYBAAAPAAAAAAAA&#10;AAEAIAAAACIAAABkcnMvZG93bnJldi54bWxQSwECFAAUAAAACACHTuJAr03OWBMCAAAGBAAADgAA&#10;AAAAAAABACAAAAAmAQAAZHJzL2Uyb0RvYy54bWxQSwUGAAAAAAYABgBZAQAAqwUAAAAA&#10;">
                  <v:fill on="f" focussize="0,0"/>
                  <v:stroke color="#000000" joinstyle="round" endarrow="block"/>
                  <v:imagedata o:title=""/>
                  <o:lock v:ext="edit" aspectratio="f"/>
                </v:line>
                <v:line id="直接连接符 15" o:spid="_x0000_s1026" o:spt="20" style="position:absolute;left:2127563;top:4537578;height:297228;width:2334;"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Bad59cAAAAGAQAADwAAAAAA&#10;AAABACAAAAAiAAAAZHJzL2Rvd25yZXYueG1sUEsBAhQAFAAAAAgAh07iQFcHTQ4UAgAABgQAAA4A&#10;AAAAAAAAAQAgAAAAJgEAAGRycy9lMm9Eb2MueG1sUEsFBgAAAAAGAAYAWQEAAKwFAAAAAA==&#10;">
                  <v:fill on="f" focussize="0,0"/>
                  <v:stroke color="#000000" joinstyle="round" endarrow="block"/>
                  <v:imagedata o:title=""/>
                  <o:lock v:ext="edit" aspectratio="f"/>
                </v:line>
                <v:line id="直接连接符 16" o:spid="_x0000_s1026" o:spt="20" style="position:absolute;left:2130675;top:5220504;height:298004;width:2334;" filled="f" stroked="t" coordsize="21600,21600" o:gfxdata="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sFp3n1wAAAAYBAAAPAAAAAAAA&#10;AAEAIAAAACIAAABkcnMvZG93bnJldi54bWxQSwECFAAUAAAACACHTuJAX9vfWRMCAAAGBAAADgAA&#10;AAAAAAABACAAAAAmAQAAZHJzL2Uyb0RvYy54bWxQSwUGAAAAAAYABgBZAQAAqwUAAAAA&#10;">
                  <v:fill on="f" focussize="0,0"/>
                  <v:stroke color="#000000" joinstyle="round" endarrow="block"/>
                  <v:imagedata o:title=""/>
                  <o:lock v:ext="edit" aspectratio="f"/>
                </v:line>
                <w10:wrap type="none"/>
                <w10:anchorlock/>
              </v:group>
            </w:pict>
          </mc:Fallback>
        </mc:AlternateContent>
      </w:r>
      <w:r>
        <w:rPr>
          <w:rFonts w:hint="eastAsia" w:ascii="仿宋" w:hAnsi="仿宋" w:eastAsia="仿宋" w:cs="宋体"/>
          <w:szCs w:val="21"/>
        </w:rPr>
        <w:br w:type="page"/>
      </w:r>
      <w:bookmarkStart w:id="15" w:name="_Toc20452"/>
      <w:bookmarkStart w:id="16" w:name="_Toc98150590"/>
      <w:bookmarkStart w:id="17" w:name="_Toc13891"/>
      <w:bookmarkStart w:id="18" w:name="_Toc2197"/>
      <w:r>
        <w:rPr>
          <w:rFonts w:hint="eastAsia" w:ascii="仿宋" w:hAnsi="仿宋" w:eastAsia="仿宋" w:cs="宋体"/>
          <w:b/>
          <w:szCs w:val="21"/>
        </w:rPr>
        <w:t>智能化停车场专业系统的</w:t>
      </w:r>
      <w:bookmarkEnd w:id="15"/>
      <w:bookmarkEnd w:id="16"/>
      <w:bookmarkEnd w:id="17"/>
      <w:bookmarkEnd w:id="18"/>
    </w:p>
    <w:p>
      <w:pPr>
        <w:spacing w:line="360" w:lineRule="auto"/>
        <w:ind w:firstLine="420" w:firstLineChars="200"/>
        <w:rPr>
          <w:rFonts w:ascii="仿宋" w:hAnsi="仿宋" w:eastAsia="仿宋" w:cs="宋体"/>
          <w:szCs w:val="21"/>
        </w:rPr>
      </w:pPr>
      <w:r>
        <w:rPr>
          <w:rFonts w:hint="eastAsia" w:ascii="仿宋" w:hAnsi="仿宋" w:eastAsia="仿宋" w:cs="宋体"/>
          <w:szCs w:val="21"/>
        </w:rPr>
        <w:drawing>
          <wp:inline distT="0" distB="0" distL="114300" distR="114300">
            <wp:extent cx="5175885" cy="2829560"/>
            <wp:effectExtent l="0" t="0" r="5715" b="889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5"/>
                    <a:stretch>
                      <a:fillRect/>
                    </a:stretch>
                  </pic:blipFill>
                  <pic:spPr>
                    <a:xfrm>
                      <a:off x="0" y="0"/>
                      <a:ext cx="5175885" cy="2829560"/>
                    </a:xfrm>
                    <a:prstGeom prst="rect">
                      <a:avLst/>
                    </a:prstGeom>
                    <a:noFill/>
                    <a:ln>
                      <a:noFill/>
                    </a:ln>
                  </pic:spPr>
                </pic:pic>
              </a:graphicData>
            </a:graphic>
          </wp:inline>
        </w:drawing>
      </w:r>
    </w:p>
    <w:p>
      <w:pPr>
        <w:numPr>
          <w:ilvl w:val="0"/>
          <w:numId w:val="12"/>
        </w:numPr>
        <w:spacing w:line="360" w:lineRule="auto"/>
        <w:rPr>
          <w:rFonts w:ascii="仿宋" w:hAnsi="仿宋" w:eastAsia="仿宋" w:cs="宋体"/>
          <w:szCs w:val="21"/>
        </w:rPr>
      </w:pPr>
      <w:r>
        <w:rPr>
          <w:rFonts w:hint="eastAsia" w:ascii="仿宋" w:hAnsi="仿宋" w:eastAsia="仿宋" w:cs="宋体"/>
          <w:szCs w:val="21"/>
        </w:rPr>
        <w:t>采用自动管理系统</w:t>
      </w:r>
    </w:p>
    <w:p>
      <w:pPr>
        <w:numPr>
          <w:ilvl w:val="0"/>
          <w:numId w:val="12"/>
        </w:numPr>
        <w:spacing w:line="360" w:lineRule="auto"/>
        <w:rPr>
          <w:rFonts w:ascii="仿宋" w:hAnsi="仿宋" w:eastAsia="仿宋" w:cs="宋体"/>
          <w:szCs w:val="21"/>
        </w:rPr>
      </w:pPr>
      <w:r>
        <w:rPr>
          <w:rFonts w:ascii="仿宋" w:hAnsi="仿宋" w:eastAsia="仿宋" w:cs="宋体"/>
          <w:szCs w:val="21"/>
        </w:rPr>
        <w:t>自动管理系统采用计算器装置, 能记录出入车场、日期、时间、车位数等数据。</w:t>
      </w:r>
    </w:p>
    <w:p>
      <w:pPr>
        <w:numPr>
          <w:ilvl w:val="0"/>
          <w:numId w:val="12"/>
        </w:numPr>
        <w:spacing w:line="360" w:lineRule="auto"/>
        <w:rPr>
          <w:rFonts w:ascii="仿宋" w:hAnsi="仿宋" w:eastAsia="仿宋" w:cs="宋体"/>
          <w:szCs w:val="21"/>
        </w:rPr>
      </w:pPr>
      <w:r>
        <w:rPr>
          <w:rFonts w:ascii="仿宋" w:hAnsi="仿宋" w:eastAsia="仿宋" w:cs="宋体"/>
          <w:szCs w:val="21"/>
        </w:rPr>
        <w:t>自动管理系统包括下列设备及配件:（数量视实际情况定，仅供参考）计算机、硬盘、摄像头连镜头、票据打印机、终端机、UPS电源、键盘、栏杆、感应器、读卡器、条形码识别器、电闸、磁卡。</w:t>
      </w:r>
    </w:p>
    <w:p>
      <w:pPr>
        <w:numPr>
          <w:ilvl w:val="0"/>
          <w:numId w:val="12"/>
        </w:numPr>
        <w:spacing w:line="360" w:lineRule="auto"/>
        <w:rPr>
          <w:rFonts w:ascii="仿宋" w:hAnsi="仿宋" w:eastAsia="仿宋" w:cs="宋体"/>
          <w:szCs w:val="21"/>
        </w:rPr>
      </w:pPr>
      <w:r>
        <w:rPr>
          <w:rFonts w:ascii="仿宋" w:hAnsi="仿宋" w:eastAsia="仿宋" w:cs="宋体"/>
          <w:szCs w:val="21"/>
        </w:rPr>
        <w:t>收费模式：微信、支付宝、现金、感应自动扣费</w:t>
      </w:r>
    </w:p>
    <w:p>
      <w:pPr>
        <w:spacing w:line="360" w:lineRule="auto"/>
        <w:rPr>
          <w:rFonts w:ascii="仿宋" w:hAnsi="仿宋" w:eastAsia="仿宋" w:cs="宋体"/>
          <w:szCs w:val="21"/>
        </w:rPr>
      </w:pPr>
    </w:p>
    <w:p>
      <w:pPr>
        <w:numPr>
          <w:ilvl w:val="0"/>
          <w:numId w:val="6"/>
        </w:numPr>
        <w:spacing w:afterLines="100"/>
        <w:jc w:val="left"/>
        <w:outlineLvl w:val="0"/>
        <w:rPr>
          <w:rFonts w:ascii="仿宋" w:hAnsi="仿宋" w:eastAsia="仿宋" w:cs="宋体"/>
          <w:b/>
          <w:szCs w:val="21"/>
        </w:rPr>
      </w:pPr>
      <w:bookmarkStart w:id="19" w:name="_Toc8649"/>
      <w:bookmarkStart w:id="20" w:name="_Toc98150591"/>
      <w:bookmarkStart w:id="21" w:name="_Toc26454"/>
      <w:bookmarkStart w:id="22" w:name="_Toc8773"/>
      <w:r>
        <w:rPr>
          <w:rFonts w:hint="eastAsia" w:ascii="仿宋" w:hAnsi="仿宋" w:eastAsia="仿宋" w:cs="宋体"/>
          <w:b/>
          <w:szCs w:val="21"/>
        </w:rPr>
        <w:t>停车场各岗位的岗位职责</w:t>
      </w:r>
      <w:bookmarkEnd w:id="19"/>
      <w:bookmarkEnd w:id="20"/>
      <w:bookmarkEnd w:id="21"/>
      <w:bookmarkEnd w:id="22"/>
    </w:p>
    <w:p>
      <w:pPr>
        <w:numPr>
          <w:ilvl w:val="0"/>
          <w:numId w:val="13"/>
        </w:numPr>
        <w:spacing w:afterLines="100"/>
        <w:jc w:val="left"/>
        <w:outlineLvl w:val="0"/>
        <w:rPr>
          <w:rFonts w:ascii="仿宋" w:hAnsi="仿宋" w:eastAsia="仿宋" w:cs="宋体"/>
          <w:b/>
          <w:bCs/>
          <w:szCs w:val="21"/>
        </w:rPr>
      </w:pPr>
      <w:r>
        <w:rPr>
          <w:rFonts w:hint="eastAsia" w:ascii="仿宋" w:hAnsi="仿宋" w:eastAsia="仿宋" w:cs="宋体"/>
          <w:b/>
          <w:bCs/>
          <w:szCs w:val="21"/>
        </w:rPr>
        <w:t>停车场负责人职责</w:t>
      </w:r>
    </w:p>
    <w:p>
      <w:pPr>
        <w:numPr>
          <w:ilvl w:val="0"/>
          <w:numId w:val="14"/>
        </w:numPr>
        <w:spacing w:line="360" w:lineRule="auto"/>
        <w:rPr>
          <w:rFonts w:ascii="仿宋" w:hAnsi="仿宋" w:eastAsia="仿宋"/>
          <w:szCs w:val="21"/>
        </w:rPr>
      </w:pPr>
      <w:r>
        <w:rPr>
          <w:rFonts w:hint="eastAsia" w:ascii="仿宋" w:hAnsi="仿宋" w:eastAsia="仿宋" w:cs="宋体"/>
          <w:szCs w:val="21"/>
        </w:rPr>
        <w:t>由乙方管理，服从医院安排，依照医院规定和本方案对停车场车辆和停放、交通秩序进行管理。</w:t>
      </w:r>
    </w:p>
    <w:p>
      <w:pPr>
        <w:numPr>
          <w:ilvl w:val="0"/>
          <w:numId w:val="14"/>
        </w:numPr>
        <w:spacing w:line="360" w:lineRule="auto"/>
        <w:rPr>
          <w:rFonts w:ascii="仿宋" w:hAnsi="仿宋" w:eastAsia="仿宋"/>
          <w:szCs w:val="21"/>
        </w:rPr>
      </w:pPr>
      <w:r>
        <w:rPr>
          <w:rFonts w:hint="eastAsia" w:ascii="仿宋" w:hAnsi="仿宋" w:eastAsia="仿宋"/>
          <w:szCs w:val="21"/>
        </w:rPr>
        <w:t>经常视察车场、并确保各停车位正确使用，保证车道、车场出入口周围道路畅通。</w:t>
      </w:r>
    </w:p>
    <w:p>
      <w:pPr>
        <w:numPr>
          <w:ilvl w:val="0"/>
          <w:numId w:val="14"/>
        </w:numPr>
        <w:spacing w:line="360" w:lineRule="auto"/>
        <w:rPr>
          <w:rFonts w:ascii="仿宋" w:hAnsi="仿宋" w:eastAsia="仿宋"/>
          <w:szCs w:val="21"/>
        </w:rPr>
      </w:pPr>
      <w:r>
        <w:rPr>
          <w:rFonts w:hint="eastAsia" w:ascii="仿宋" w:hAnsi="仿宋" w:eastAsia="仿宋"/>
          <w:szCs w:val="21"/>
        </w:rPr>
        <w:t>熟悉掌握车辆流通情况，车位情况，合理布署安排，按物价部门规定收取车位停放费。</w:t>
      </w:r>
    </w:p>
    <w:p>
      <w:pPr>
        <w:numPr>
          <w:ilvl w:val="0"/>
          <w:numId w:val="14"/>
        </w:numPr>
        <w:spacing w:line="360" w:lineRule="auto"/>
        <w:rPr>
          <w:rFonts w:ascii="仿宋" w:hAnsi="仿宋" w:eastAsia="仿宋"/>
          <w:szCs w:val="21"/>
        </w:rPr>
      </w:pPr>
      <w:r>
        <w:rPr>
          <w:rFonts w:hint="eastAsia" w:ascii="仿宋" w:hAnsi="仿宋" w:eastAsia="仿宋"/>
          <w:szCs w:val="21"/>
        </w:rPr>
        <w:t>合理安排和调动人员，严格遵守制度，提高工作效率。</w:t>
      </w:r>
    </w:p>
    <w:p>
      <w:pPr>
        <w:numPr>
          <w:ilvl w:val="0"/>
          <w:numId w:val="14"/>
        </w:numPr>
        <w:spacing w:line="360" w:lineRule="auto"/>
        <w:rPr>
          <w:rFonts w:ascii="仿宋" w:hAnsi="仿宋" w:eastAsia="仿宋"/>
          <w:szCs w:val="21"/>
        </w:rPr>
      </w:pPr>
      <w:r>
        <w:rPr>
          <w:rFonts w:hint="eastAsia" w:ascii="仿宋" w:hAnsi="仿宋" w:eastAsia="仿宋"/>
          <w:szCs w:val="21"/>
        </w:rPr>
        <w:t>负责监督和落实员工岗位职责，对员工进行岗位职责、工作规程、培训，并对员工进行考核，填写《员工考核表》，提高员工的工作技能及服务质素。</w:t>
      </w:r>
    </w:p>
    <w:p>
      <w:pPr>
        <w:numPr>
          <w:ilvl w:val="0"/>
          <w:numId w:val="14"/>
        </w:numPr>
        <w:spacing w:line="360" w:lineRule="auto"/>
        <w:rPr>
          <w:rFonts w:ascii="仿宋" w:hAnsi="仿宋" w:eastAsia="仿宋"/>
          <w:szCs w:val="21"/>
        </w:rPr>
      </w:pPr>
      <w:r>
        <w:rPr>
          <w:rFonts w:hint="eastAsia" w:ascii="仿宋" w:hAnsi="仿宋" w:eastAsia="仿宋"/>
          <w:szCs w:val="21"/>
        </w:rPr>
        <w:t>负责每日工作检查，并填写《车辆管理日检表》。</w:t>
      </w:r>
    </w:p>
    <w:p>
      <w:pPr>
        <w:numPr>
          <w:ilvl w:val="0"/>
          <w:numId w:val="14"/>
        </w:numPr>
        <w:spacing w:line="360" w:lineRule="auto"/>
        <w:rPr>
          <w:rFonts w:ascii="仿宋" w:hAnsi="仿宋" w:eastAsia="仿宋"/>
          <w:szCs w:val="21"/>
        </w:rPr>
      </w:pPr>
      <w:r>
        <w:rPr>
          <w:rFonts w:hint="eastAsia" w:ascii="仿宋" w:hAnsi="仿宋" w:eastAsia="仿宋"/>
          <w:szCs w:val="21"/>
        </w:rPr>
        <w:t>负责对外协调与联系，处理车辆管理方面的问题和车主投诉。</w:t>
      </w:r>
    </w:p>
    <w:p>
      <w:pPr>
        <w:numPr>
          <w:ilvl w:val="0"/>
          <w:numId w:val="14"/>
        </w:numPr>
        <w:spacing w:line="360" w:lineRule="auto"/>
        <w:rPr>
          <w:rFonts w:ascii="仿宋" w:hAnsi="仿宋" w:eastAsia="仿宋"/>
          <w:szCs w:val="21"/>
        </w:rPr>
      </w:pPr>
      <w:r>
        <w:rPr>
          <w:rFonts w:hint="eastAsia" w:ascii="仿宋" w:hAnsi="仿宋" w:eastAsia="仿宋"/>
          <w:szCs w:val="21"/>
        </w:rPr>
        <w:t>熟悉停车场内的通道结构、安全系统、消防设备及通风系统，车位使用情况，负责对车场内公共设施、车管系统的运行情况清洁等监管工作，以确保车场管理工作顺利及有效开展。</w:t>
      </w:r>
    </w:p>
    <w:p>
      <w:pPr>
        <w:numPr>
          <w:ilvl w:val="0"/>
          <w:numId w:val="14"/>
        </w:numPr>
        <w:spacing w:line="360" w:lineRule="auto"/>
        <w:rPr>
          <w:rFonts w:ascii="仿宋" w:hAnsi="仿宋" w:eastAsia="仿宋"/>
          <w:szCs w:val="21"/>
        </w:rPr>
      </w:pPr>
      <w:r>
        <w:rPr>
          <w:rFonts w:hint="eastAsia" w:ascii="仿宋" w:hAnsi="仿宋" w:eastAsia="仿宋"/>
          <w:szCs w:val="21"/>
        </w:rPr>
        <w:t>负责现场监管，对任何员工涉及违规事情及时纠正，并及时上报公司。</w:t>
      </w:r>
    </w:p>
    <w:p>
      <w:pPr>
        <w:numPr>
          <w:ilvl w:val="0"/>
          <w:numId w:val="14"/>
        </w:numPr>
        <w:spacing w:line="360" w:lineRule="auto"/>
        <w:rPr>
          <w:rFonts w:ascii="仿宋" w:hAnsi="仿宋" w:eastAsia="仿宋"/>
          <w:szCs w:val="21"/>
        </w:rPr>
      </w:pPr>
      <w:r>
        <w:rPr>
          <w:rFonts w:hint="eastAsia" w:ascii="仿宋" w:hAnsi="仿宋" w:eastAsia="仿宋"/>
          <w:szCs w:val="21"/>
        </w:rPr>
        <w:t>定期召开班组会议，加强团结，搞好协作，带领好员工。</w:t>
      </w:r>
    </w:p>
    <w:p>
      <w:pPr>
        <w:numPr>
          <w:ilvl w:val="0"/>
          <w:numId w:val="14"/>
        </w:numPr>
        <w:spacing w:line="360" w:lineRule="auto"/>
        <w:rPr>
          <w:rFonts w:ascii="仿宋" w:hAnsi="仿宋" w:eastAsia="仿宋"/>
          <w:szCs w:val="21"/>
        </w:rPr>
      </w:pPr>
      <w:r>
        <w:rPr>
          <w:rFonts w:hint="eastAsia" w:ascii="仿宋" w:hAnsi="仿宋" w:eastAsia="仿宋"/>
          <w:szCs w:val="21"/>
        </w:rPr>
        <w:t>根据工作需要和上级的指示，合理安排，强化管理，定时向上级主管汇报工作。</w:t>
      </w:r>
    </w:p>
    <w:p>
      <w:pPr>
        <w:jc w:val="left"/>
        <w:rPr>
          <w:rFonts w:ascii="仿宋" w:hAnsi="仿宋" w:eastAsia="仿宋"/>
          <w:szCs w:val="21"/>
        </w:rPr>
      </w:pPr>
    </w:p>
    <w:p>
      <w:pPr>
        <w:numPr>
          <w:ilvl w:val="0"/>
          <w:numId w:val="13"/>
        </w:numPr>
        <w:spacing w:afterLines="100"/>
        <w:jc w:val="left"/>
        <w:outlineLvl w:val="0"/>
        <w:rPr>
          <w:rFonts w:ascii="仿宋" w:hAnsi="仿宋" w:eastAsia="仿宋" w:cs="宋体"/>
          <w:b/>
          <w:bCs/>
          <w:szCs w:val="21"/>
        </w:rPr>
      </w:pPr>
      <w:r>
        <w:rPr>
          <w:rFonts w:hint="eastAsia" w:ascii="仿宋" w:hAnsi="仿宋" w:eastAsia="仿宋" w:cs="宋体"/>
          <w:b/>
          <w:bCs/>
          <w:szCs w:val="21"/>
        </w:rPr>
        <w:t>车辆管理员岗位职责</w:t>
      </w:r>
    </w:p>
    <w:p>
      <w:pPr>
        <w:numPr>
          <w:ilvl w:val="0"/>
          <w:numId w:val="15"/>
        </w:numPr>
        <w:spacing w:line="360" w:lineRule="auto"/>
        <w:rPr>
          <w:rFonts w:ascii="仿宋" w:hAnsi="仿宋" w:eastAsia="仿宋"/>
          <w:szCs w:val="21"/>
        </w:rPr>
      </w:pPr>
      <w:r>
        <w:rPr>
          <w:rFonts w:hint="eastAsia" w:ascii="仿宋" w:hAnsi="仿宋" w:eastAsia="仿宋"/>
          <w:szCs w:val="21"/>
        </w:rPr>
        <w:t xml:space="preserve">负责对停车场内停泊车辆之管理工作，指挥好车道的交通秩序，使车道、车场出入口周围保持畅通。 </w:t>
      </w:r>
    </w:p>
    <w:p>
      <w:pPr>
        <w:numPr>
          <w:ilvl w:val="0"/>
          <w:numId w:val="15"/>
        </w:numPr>
        <w:spacing w:line="360" w:lineRule="auto"/>
        <w:rPr>
          <w:rFonts w:ascii="仿宋" w:hAnsi="仿宋" w:eastAsia="仿宋"/>
          <w:szCs w:val="21"/>
        </w:rPr>
      </w:pPr>
      <w:r>
        <w:rPr>
          <w:rFonts w:hint="eastAsia" w:ascii="仿宋" w:hAnsi="仿宋" w:eastAsia="仿宋"/>
          <w:szCs w:val="21"/>
        </w:rPr>
        <w:t>实行24小时轮流值班，服从统一安排调度。</w:t>
      </w:r>
    </w:p>
    <w:p>
      <w:pPr>
        <w:numPr>
          <w:ilvl w:val="0"/>
          <w:numId w:val="15"/>
        </w:numPr>
        <w:spacing w:line="360" w:lineRule="auto"/>
        <w:rPr>
          <w:rFonts w:ascii="仿宋" w:hAnsi="仿宋" w:eastAsia="仿宋"/>
          <w:szCs w:val="21"/>
        </w:rPr>
      </w:pPr>
      <w:r>
        <w:rPr>
          <w:rFonts w:hint="eastAsia" w:ascii="仿宋" w:hAnsi="仿宋" w:eastAsia="仿宋"/>
          <w:szCs w:val="21"/>
        </w:rPr>
        <w:t>按规定着装，佩带工作牌，对出入车辆按规定和程序指挥放行。</w:t>
      </w:r>
    </w:p>
    <w:p>
      <w:pPr>
        <w:numPr>
          <w:ilvl w:val="0"/>
          <w:numId w:val="15"/>
        </w:numPr>
        <w:spacing w:line="360" w:lineRule="auto"/>
        <w:rPr>
          <w:rFonts w:ascii="仿宋" w:hAnsi="仿宋" w:eastAsia="仿宋"/>
          <w:szCs w:val="21"/>
        </w:rPr>
      </w:pPr>
      <w:r>
        <w:rPr>
          <w:rFonts w:hint="eastAsia" w:ascii="仿宋" w:hAnsi="仿宋" w:eastAsia="仿宋"/>
          <w:szCs w:val="21"/>
        </w:rPr>
        <w:t>登记所有出入车辆之数据，包括车牌号码、停放位置、出入时间</w:t>
      </w:r>
    </w:p>
    <w:p>
      <w:pPr>
        <w:numPr>
          <w:ilvl w:val="0"/>
          <w:numId w:val="15"/>
        </w:numPr>
        <w:spacing w:line="360" w:lineRule="auto"/>
        <w:rPr>
          <w:rFonts w:ascii="仿宋" w:hAnsi="仿宋" w:eastAsia="仿宋"/>
          <w:szCs w:val="21"/>
        </w:rPr>
      </w:pPr>
      <w:r>
        <w:rPr>
          <w:rFonts w:hint="eastAsia" w:ascii="仿宋" w:hAnsi="仿宋" w:eastAsia="仿宋"/>
          <w:szCs w:val="21"/>
        </w:rPr>
        <w:t>负责指挥区内车辆行驶和停放，督促所有车辆按规定停放车辆，维持停车秩序,保证车辆停放安全。</w:t>
      </w:r>
    </w:p>
    <w:p>
      <w:pPr>
        <w:numPr>
          <w:ilvl w:val="0"/>
          <w:numId w:val="15"/>
        </w:numPr>
        <w:spacing w:line="360" w:lineRule="auto"/>
        <w:rPr>
          <w:rFonts w:ascii="仿宋" w:hAnsi="仿宋" w:eastAsia="仿宋"/>
          <w:szCs w:val="21"/>
        </w:rPr>
      </w:pPr>
      <w:r>
        <w:rPr>
          <w:rFonts w:hint="eastAsia" w:ascii="仿宋" w:hAnsi="仿宋" w:eastAsia="仿宋"/>
          <w:szCs w:val="21"/>
        </w:rPr>
        <w:t>负责对停车场现场巡视查看，如发生可疑人物滞留停车场，应立即规劝，立即呈报上级主管或监控中心注意监察。</w:t>
      </w:r>
    </w:p>
    <w:p>
      <w:pPr>
        <w:numPr>
          <w:ilvl w:val="0"/>
          <w:numId w:val="15"/>
        </w:numPr>
        <w:spacing w:line="360" w:lineRule="auto"/>
        <w:rPr>
          <w:rFonts w:ascii="仿宋" w:hAnsi="仿宋" w:eastAsia="仿宋"/>
          <w:szCs w:val="21"/>
        </w:rPr>
      </w:pPr>
      <w:r>
        <w:rPr>
          <w:rFonts w:hint="eastAsia" w:ascii="仿宋" w:hAnsi="仿宋" w:eastAsia="仿宋"/>
          <w:szCs w:val="21"/>
        </w:rPr>
        <w:t>负责停车场的消防安全巡查工作，熟悉停车场内的结构，安全系统、消防设备及通风系统等，发生事故时能够从容应付。</w:t>
      </w:r>
    </w:p>
    <w:p>
      <w:pPr>
        <w:numPr>
          <w:ilvl w:val="0"/>
          <w:numId w:val="15"/>
        </w:numPr>
        <w:spacing w:line="360" w:lineRule="auto"/>
        <w:rPr>
          <w:rFonts w:ascii="仿宋" w:hAnsi="仿宋" w:eastAsia="仿宋"/>
          <w:szCs w:val="21"/>
        </w:rPr>
      </w:pPr>
      <w:r>
        <w:rPr>
          <w:rFonts w:hint="eastAsia" w:ascii="仿宋" w:hAnsi="仿宋" w:eastAsia="仿宋"/>
          <w:szCs w:val="21"/>
        </w:rPr>
        <w:t>如发生交通意外，应记录和拍摄有关数据包括涉及车辆损坏情况等，并须立即报告。</w:t>
      </w:r>
    </w:p>
    <w:p>
      <w:pPr>
        <w:numPr>
          <w:ilvl w:val="0"/>
          <w:numId w:val="15"/>
        </w:numPr>
        <w:spacing w:line="360" w:lineRule="auto"/>
        <w:rPr>
          <w:rFonts w:ascii="仿宋" w:hAnsi="仿宋" w:eastAsia="仿宋"/>
          <w:szCs w:val="21"/>
        </w:rPr>
      </w:pPr>
      <w:r>
        <w:rPr>
          <w:rFonts w:hint="eastAsia" w:ascii="仿宋" w:hAnsi="仿宋" w:eastAsia="仿宋"/>
          <w:szCs w:val="21"/>
        </w:rPr>
        <w:t>当发现车辆门窗未关好，应留驻现场值勤，立即报告负责人，设法通知车主，防止发生失窃现象。</w:t>
      </w:r>
    </w:p>
    <w:p>
      <w:pPr>
        <w:tabs>
          <w:tab w:val="left" w:pos="0"/>
        </w:tabs>
        <w:spacing w:line="360" w:lineRule="auto"/>
        <w:ind w:left="403"/>
        <w:rPr>
          <w:rFonts w:ascii="仿宋" w:hAnsi="仿宋" w:eastAsia="仿宋"/>
          <w:szCs w:val="21"/>
        </w:rPr>
      </w:pPr>
      <w:r>
        <w:rPr>
          <w:rFonts w:hint="eastAsia" w:ascii="仿宋" w:hAnsi="仿宋" w:eastAsia="仿宋"/>
          <w:szCs w:val="21"/>
        </w:rPr>
        <w:t>10.对违反交通秩序及停车的之车主进行劝阻、说明、避免恶语伤人、发生冲突。</w:t>
      </w:r>
    </w:p>
    <w:p>
      <w:pPr>
        <w:tabs>
          <w:tab w:val="left" w:pos="0"/>
        </w:tabs>
        <w:spacing w:line="360" w:lineRule="auto"/>
        <w:ind w:left="403"/>
        <w:rPr>
          <w:rFonts w:ascii="仿宋" w:hAnsi="仿宋" w:eastAsia="仿宋"/>
          <w:szCs w:val="21"/>
        </w:rPr>
      </w:pPr>
      <w:r>
        <w:rPr>
          <w:rFonts w:hint="eastAsia" w:ascii="仿宋" w:hAnsi="仿宋" w:eastAsia="仿宋"/>
          <w:szCs w:val="21"/>
        </w:rPr>
        <w:t>11.停车场的员工，不得以任何理由向司机或车主索取任何利益或报酬。</w:t>
      </w:r>
    </w:p>
    <w:p>
      <w:pPr>
        <w:numPr>
          <w:ilvl w:val="0"/>
          <w:numId w:val="14"/>
        </w:numPr>
        <w:spacing w:line="360" w:lineRule="auto"/>
        <w:rPr>
          <w:rFonts w:ascii="仿宋" w:hAnsi="仿宋" w:eastAsia="仿宋"/>
          <w:szCs w:val="21"/>
        </w:rPr>
      </w:pPr>
      <w:r>
        <w:rPr>
          <w:rFonts w:hint="eastAsia" w:ascii="仿宋" w:hAnsi="仿宋" w:eastAsia="仿宋"/>
          <w:szCs w:val="21"/>
        </w:rPr>
        <w:t>未经许可，禁止任何车辆在停车场维修或清洗车辆。</w:t>
      </w:r>
    </w:p>
    <w:p>
      <w:pPr>
        <w:numPr>
          <w:ilvl w:val="0"/>
          <w:numId w:val="14"/>
        </w:numPr>
        <w:spacing w:line="360" w:lineRule="auto"/>
        <w:rPr>
          <w:rFonts w:ascii="仿宋" w:hAnsi="仿宋" w:eastAsia="仿宋"/>
          <w:szCs w:val="21"/>
        </w:rPr>
      </w:pPr>
      <w:r>
        <w:rPr>
          <w:rFonts w:hint="eastAsia" w:ascii="仿宋" w:hAnsi="仿宋" w:eastAsia="仿宋"/>
          <w:szCs w:val="21"/>
        </w:rPr>
        <w:t>遵守规章制度，按时上下班，认真做好交接班手续，不擅自离职守。</w:t>
      </w:r>
    </w:p>
    <w:p>
      <w:pPr>
        <w:tabs>
          <w:tab w:val="left" w:pos="0"/>
        </w:tabs>
        <w:spacing w:line="360" w:lineRule="auto"/>
        <w:ind w:left="403"/>
        <w:rPr>
          <w:rFonts w:ascii="仿宋" w:hAnsi="仿宋" w:eastAsia="仿宋"/>
          <w:szCs w:val="21"/>
        </w:rPr>
      </w:pPr>
    </w:p>
    <w:p>
      <w:pPr>
        <w:numPr>
          <w:ilvl w:val="0"/>
          <w:numId w:val="13"/>
        </w:numPr>
        <w:spacing w:afterLines="100"/>
        <w:jc w:val="left"/>
        <w:outlineLvl w:val="0"/>
        <w:rPr>
          <w:rFonts w:ascii="仿宋" w:hAnsi="仿宋" w:eastAsia="仿宋" w:cs="宋体"/>
          <w:b/>
          <w:bCs/>
          <w:szCs w:val="21"/>
        </w:rPr>
      </w:pPr>
      <w:r>
        <w:rPr>
          <w:rFonts w:hint="eastAsia" w:ascii="仿宋" w:hAnsi="仿宋" w:eastAsia="仿宋" w:cs="宋体"/>
          <w:b/>
          <w:bCs/>
          <w:szCs w:val="21"/>
        </w:rPr>
        <w:t>收费员岗位职责</w:t>
      </w:r>
    </w:p>
    <w:p>
      <w:pPr>
        <w:numPr>
          <w:ilvl w:val="0"/>
          <w:numId w:val="16"/>
        </w:numPr>
        <w:spacing w:line="360" w:lineRule="auto"/>
        <w:rPr>
          <w:rFonts w:ascii="仿宋" w:hAnsi="仿宋" w:eastAsia="仿宋"/>
          <w:szCs w:val="21"/>
        </w:rPr>
      </w:pPr>
      <w:r>
        <w:rPr>
          <w:rFonts w:hint="eastAsia" w:ascii="仿宋" w:hAnsi="仿宋" w:eastAsia="仿宋"/>
          <w:szCs w:val="21"/>
        </w:rPr>
        <w:t>收银员必须忠于职守，认真仔细做好工作，不得出错，并保证现金的安全。</w:t>
      </w:r>
    </w:p>
    <w:p>
      <w:pPr>
        <w:numPr>
          <w:ilvl w:val="0"/>
          <w:numId w:val="16"/>
        </w:numPr>
        <w:spacing w:line="360" w:lineRule="auto"/>
        <w:rPr>
          <w:rFonts w:ascii="仿宋" w:hAnsi="仿宋" w:eastAsia="仿宋"/>
          <w:szCs w:val="21"/>
        </w:rPr>
      </w:pPr>
      <w:r>
        <w:rPr>
          <w:rFonts w:hint="eastAsia" w:ascii="仿宋" w:hAnsi="仿宋" w:eastAsia="仿宋"/>
          <w:szCs w:val="21"/>
        </w:rPr>
        <w:t>根据规定计时收费，按标准计算应收的停车使用费，开具收费发票，准确无误地收取车位使用费。</w:t>
      </w:r>
    </w:p>
    <w:p>
      <w:pPr>
        <w:numPr>
          <w:ilvl w:val="0"/>
          <w:numId w:val="16"/>
        </w:numPr>
        <w:spacing w:line="360" w:lineRule="auto"/>
        <w:rPr>
          <w:rFonts w:ascii="仿宋" w:hAnsi="仿宋" w:eastAsia="仿宋"/>
          <w:szCs w:val="21"/>
        </w:rPr>
      </w:pPr>
      <w:r>
        <w:rPr>
          <w:rFonts w:hint="eastAsia" w:ascii="仿宋" w:hAnsi="仿宋" w:eastAsia="仿宋"/>
          <w:szCs w:val="21"/>
        </w:rPr>
        <w:t>每次收款均要记帐(输入计算机)，现金数额应与账面数额相符。</w:t>
      </w:r>
    </w:p>
    <w:p>
      <w:pPr>
        <w:numPr>
          <w:ilvl w:val="0"/>
          <w:numId w:val="16"/>
        </w:numPr>
        <w:spacing w:line="360" w:lineRule="auto"/>
        <w:rPr>
          <w:rFonts w:ascii="仿宋" w:hAnsi="仿宋" w:eastAsia="仿宋"/>
          <w:szCs w:val="21"/>
        </w:rPr>
      </w:pPr>
      <w:r>
        <w:rPr>
          <w:rFonts w:hint="eastAsia" w:ascii="仿宋" w:hAnsi="仿宋" w:eastAsia="仿宋"/>
          <w:szCs w:val="21"/>
        </w:rPr>
        <w:t>根据公司规定对丢失登记卡的车辆进行查实、补卡并收取相关的费用。</w:t>
      </w:r>
    </w:p>
    <w:p>
      <w:pPr>
        <w:numPr>
          <w:ilvl w:val="0"/>
          <w:numId w:val="16"/>
        </w:numPr>
        <w:spacing w:line="360" w:lineRule="auto"/>
        <w:rPr>
          <w:rFonts w:ascii="仿宋" w:hAnsi="仿宋" w:eastAsia="仿宋"/>
          <w:szCs w:val="21"/>
        </w:rPr>
      </w:pPr>
      <w:r>
        <w:rPr>
          <w:rFonts w:hint="eastAsia" w:ascii="仿宋" w:hAnsi="仿宋" w:eastAsia="仿宋"/>
          <w:szCs w:val="21"/>
        </w:rPr>
        <w:t>对免费停车的车辆在验证及办理好免费结算手续后给予放行。（免费证件由建投公司负责）</w:t>
      </w:r>
    </w:p>
    <w:p>
      <w:pPr>
        <w:numPr>
          <w:ilvl w:val="0"/>
          <w:numId w:val="16"/>
        </w:numPr>
        <w:spacing w:line="360" w:lineRule="auto"/>
        <w:rPr>
          <w:rFonts w:ascii="仿宋" w:hAnsi="仿宋" w:eastAsia="仿宋"/>
          <w:szCs w:val="21"/>
        </w:rPr>
      </w:pPr>
      <w:r>
        <w:rPr>
          <w:rFonts w:hint="eastAsia" w:ascii="仿宋" w:hAnsi="仿宋" w:eastAsia="仿宋"/>
          <w:szCs w:val="21"/>
        </w:rPr>
        <w:t>按公司的规定编制办理好收费台账及现金的交接，及时上交营业款。</w:t>
      </w:r>
    </w:p>
    <w:p>
      <w:pPr>
        <w:numPr>
          <w:ilvl w:val="0"/>
          <w:numId w:val="16"/>
        </w:numPr>
        <w:spacing w:line="360" w:lineRule="auto"/>
        <w:rPr>
          <w:rFonts w:ascii="仿宋" w:hAnsi="仿宋" w:eastAsia="仿宋"/>
          <w:szCs w:val="21"/>
        </w:rPr>
      </w:pPr>
      <w:r>
        <w:rPr>
          <w:rFonts w:hint="eastAsia" w:ascii="仿宋" w:hAnsi="仿宋" w:eastAsia="仿宋"/>
          <w:szCs w:val="21"/>
        </w:rPr>
        <w:t>按照公司规定填报车位使用费收费汇总表格。</w:t>
      </w:r>
    </w:p>
    <w:p>
      <w:pPr>
        <w:numPr>
          <w:ilvl w:val="0"/>
          <w:numId w:val="16"/>
        </w:numPr>
        <w:spacing w:line="360" w:lineRule="auto"/>
        <w:rPr>
          <w:rFonts w:ascii="仿宋" w:hAnsi="仿宋" w:eastAsia="仿宋"/>
          <w:szCs w:val="21"/>
        </w:rPr>
      </w:pPr>
      <w:r>
        <w:rPr>
          <w:rFonts w:hint="eastAsia" w:ascii="仿宋" w:hAnsi="仿宋" w:eastAsia="仿宋"/>
          <w:szCs w:val="21"/>
        </w:rPr>
        <w:t>完成领导交给的其它工作。</w:t>
      </w:r>
    </w:p>
    <w:p>
      <w:pPr>
        <w:tabs>
          <w:tab w:val="left" w:pos="0"/>
        </w:tabs>
        <w:spacing w:line="360" w:lineRule="auto"/>
        <w:rPr>
          <w:rFonts w:ascii="仿宋" w:hAnsi="仿宋" w:eastAsia="仿宋"/>
          <w:szCs w:val="21"/>
        </w:rPr>
      </w:pPr>
    </w:p>
    <w:p>
      <w:pPr>
        <w:numPr>
          <w:ilvl w:val="0"/>
          <w:numId w:val="13"/>
        </w:numPr>
        <w:spacing w:afterLines="100"/>
        <w:jc w:val="left"/>
        <w:outlineLvl w:val="0"/>
        <w:rPr>
          <w:rFonts w:ascii="仿宋" w:hAnsi="仿宋" w:eastAsia="仿宋" w:cs="宋体"/>
          <w:b/>
          <w:bCs/>
          <w:szCs w:val="21"/>
        </w:rPr>
      </w:pPr>
      <w:r>
        <w:rPr>
          <w:rFonts w:hint="eastAsia" w:ascii="仿宋" w:hAnsi="仿宋" w:eastAsia="仿宋" w:cs="宋体"/>
          <w:b/>
          <w:bCs/>
          <w:szCs w:val="21"/>
        </w:rPr>
        <w:t>车辆管理员纪律</w:t>
      </w:r>
    </w:p>
    <w:p>
      <w:pPr>
        <w:numPr>
          <w:ilvl w:val="0"/>
          <w:numId w:val="17"/>
        </w:numPr>
        <w:spacing w:line="360" w:lineRule="auto"/>
        <w:rPr>
          <w:rFonts w:ascii="仿宋" w:hAnsi="仿宋" w:eastAsia="仿宋"/>
          <w:szCs w:val="21"/>
        </w:rPr>
      </w:pPr>
      <w:r>
        <w:rPr>
          <w:rFonts w:hint="eastAsia" w:ascii="仿宋" w:hAnsi="仿宋" w:eastAsia="仿宋"/>
          <w:szCs w:val="21"/>
        </w:rPr>
        <w:t>仪容整洁，着装整齐。</w:t>
      </w:r>
    </w:p>
    <w:p>
      <w:pPr>
        <w:numPr>
          <w:ilvl w:val="0"/>
          <w:numId w:val="17"/>
        </w:numPr>
        <w:spacing w:line="360" w:lineRule="auto"/>
        <w:rPr>
          <w:rFonts w:ascii="仿宋" w:hAnsi="仿宋" w:eastAsia="仿宋"/>
          <w:szCs w:val="21"/>
        </w:rPr>
      </w:pPr>
      <w:r>
        <w:rPr>
          <w:rFonts w:hint="eastAsia" w:ascii="仿宋" w:hAnsi="仿宋" w:eastAsia="仿宋"/>
          <w:szCs w:val="21"/>
        </w:rPr>
        <w:t>执行公司文明礼貌用语规范，文明服务，礼貌待人。</w:t>
      </w:r>
    </w:p>
    <w:p>
      <w:pPr>
        <w:numPr>
          <w:ilvl w:val="0"/>
          <w:numId w:val="17"/>
        </w:numPr>
        <w:spacing w:line="360" w:lineRule="auto"/>
        <w:rPr>
          <w:rFonts w:ascii="仿宋" w:hAnsi="仿宋" w:eastAsia="仿宋"/>
          <w:szCs w:val="21"/>
        </w:rPr>
      </w:pPr>
      <w:r>
        <w:rPr>
          <w:rFonts w:hint="eastAsia" w:ascii="仿宋" w:hAnsi="仿宋" w:eastAsia="仿宋"/>
          <w:szCs w:val="21"/>
        </w:rPr>
        <w:t>严格遵守交接班制度。</w:t>
      </w:r>
    </w:p>
    <w:p>
      <w:pPr>
        <w:numPr>
          <w:ilvl w:val="0"/>
          <w:numId w:val="17"/>
        </w:numPr>
        <w:spacing w:line="360" w:lineRule="auto"/>
        <w:rPr>
          <w:rFonts w:ascii="仿宋" w:hAnsi="仿宋" w:eastAsia="仿宋"/>
          <w:szCs w:val="21"/>
        </w:rPr>
      </w:pPr>
      <w:r>
        <w:rPr>
          <w:rFonts w:hint="eastAsia" w:ascii="仿宋" w:hAnsi="仿宋" w:eastAsia="仿宋"/>
          <w:szCs w:val="21"/>
        </w:rPr>
        <w:t>值班前禁止喝酒，值班时禁止喝酒、吸烟、吃东西。</w:t>
      </w:r>
    </w:p>
    <w:p>
      <w:pPr>
        <w:numPr>
          <w:ilvl w:val="0"/>
          <w:numId w:val="17"/>
        </w:numPr>
        <w:spacing w:line="360" w:lineRule="auto"/>
        <w:rPr>
          <w:rFonts w:ascii="仿宋" w:hAnsi="仿宋" w:eastAsia="仿宋"/>
          <w:szCs w:val="21"/>
        </w:rPr>
      </w:pPr>
      <w:r>
        <w:rPr>
          <w:rFonts w:hint="eastAsia" w:ascii="仿宋" w:hAnsi="仿宋" w:eastAsia="仿宋"/>
          <w:szCs w:val="21"/>
        </w:rPr>
        <w:t>不准在值班时会客、看报纸、听广播，及做其它与值班责任无关的事。</w:t>
      </w:r>
    </w:p>
    <w:p>
      <w:pPr>
        <w:numPr>
          <w:ilvl w:val="0"/>
          <w:numId w:val="17"/>
        </w:numPr>
        <w:spacing w:line="360" w:lineRule="auto"/>
        <w:rPr>
          <w:rFonts w:ascii="仿宋" w:hAnsi="仿宋" w:eastAsia="仿宋"/>
          <w:szCs w:val="21"/>
        </w:rPr>
      </w:pPr>
      <w:r>
        <w:rPr>
          <w:rFonts w:hint="eastAsia" w:ascii="仿宋" w:hAnsi="仿宋" w:eastAsia="仿宋"/>
          <w:szCs w:val="21"/>
        </w:rPr>
        <w:t>爱护各种设备，不得丢失、损坏、转借或随意携带外出。</w:t>
      </w:r>
    </w:p>
    <w:p>
      <w:pPr>
        <w:numPr>
          <w:ilvl w:val="0"/>
          <w:numId w:val="17"/>
        </w:numPr>
        <w:spacing w:line="360" w:lineRule="auto"/>
        <w:rPr>
          <w:rFonts w:ascii="仿宋" w:hAnsi="仿宋" w:eastAsia="仿宋"/>
          <w:szCs w:val="21"/>
        </w:rPr>
      </w:pPr>
      <w:r>
        <w:rPr>
          <w:rFonts w:hint="eastAsia" w:ascii="仿宋" w:hAnsi="仿宋" w:eastAsia="仿宋"/>
          <w:szCs w:val="21"/>
        </w:rPr>
        <w:t>服从指令，严守公司制度，严守职业道德。</w:t>
      </w:r>
    </w:p>
    <w:p>
      <w:pPr>
        <w:numPr>
          <w:ilvl w:val="0"/>
          <w:numId w:val="17"/>
        </w:numPr>
        <w:spacing w:line="360" w:lineRule="auto"/>
        <w:rPr>
          <w:rFonts w:ascii="仿宋" w:hAnsi="仿宋" w:eastAsia="仿宋"/>
          <w:szCs w:val="21"/>
        </w:rPr>
      </w:pPr>
      <w:r>
        <w:rPr>
          <w:rFonts w:hint="eastAsia" w:ascii="仿宋" w:hAnsi="仿宋" w:eastAsia="仿宋"/>
          <w:szCs w:val="21"/>
        </w:rPr>
        <w:t>团结互助，禁止纠纷，不做不利于团结的事。</w:t>
      </w:r>
    </w:p>
    <w:p>
      <w:pPr>
        <w:tabs>
          <w:tab w:val="left" w:pos="0"/>
        </w:tabs>
        <w:spacing w:line="360" w:lineRule="auto"/>
        <w:rPr>
          <w:rFonts w:ascii="仿宋" w:hAnsi="仿宋" w:eastAsia="仿宋"/>
          <w:szCs w:val="21"/>
        </w:rPr>
      </w:pPr>
    </w:p>
    <w:p>
      <w:pPr>
        <w:numPr>
          <w:ilvl w:val="0"/>
          <w:numId w:val="13"/>
        </w:numPr>
        <w:spacing w:afterLines="100"/>
        <w:jc w:val="left"/>
        <w:outlineLvl w:val="0"/>
        <w:rPr>
          <w:rFonts w:ascii="仿宋" w:hAnsi="仿宋" w:eastAsia="仿宋" w:cs="宋体"/>
          <w:b/>
          <w:bCs/>
          <w:szCs w:val="21"/>
        </w:rPr>
      </w:pPr>
      <w:r>
        <w:rPr>
          <w:rFonts w:hint="eastAsia" w:ascii="仿宋" w:hAnsi="仿宋" w:eastAsia="仿宋" w:cs="宋体"/>
          <w:b/>
          <w:bCs/>
          <w:szCs w:val="21"/>
        </w:rPr>
        <w:t>保洁员岗位职责</w:t>
      </w:r>
    </w:p>
    <w:p>
      <w:pPr>
        <w:numPr>
          <w:ilvl w:val="0"/>
          <w:numId w:val="18"/>
        </w:numPr>
        <w:spacing w:line="360" w:lineRule="auto"/>
        <w:rPr>
          <w:rFonts w:ascii="仿宋" w:hAnsi="仿宋" w:eastAsia="仿宋"/>
          <w:szCs w:val="21"/>
        </w:rPr>
      </w:pPr>
      <w:r>
        <w:rPr>
          <w:rFonts w:hint="eastAsia" w:ascii="仿宋" w:hAnsi="仿宋" w:eastAsia="仿宋"/>
          <w:szCs w:val="21"/>
        </w:rPr>
        <w:t>负责停车场内清洁卫生，保护车场整洁。</w:t>
      </w:r>
    </w:p>
    <w:p>
      <w:pPr>
        <w:numPr>
          <w:ilvl w:val="0"/>
          <w:numId w:val="18"/>
        </w:numPr>
        <w:spacing w:line="360" w:lineRule="auto"/>
        <w:rPr>
          <w:rFonts w:ascii="仿宋" w:hAnsi="仿宋" w:eastAsia="仿宋"/>
          <w:szCs w:val="21"/>
        </w:rPr>
      </w:pPr>
      <w:r>
        <w:rPr>
          <w:rFonts w:hint="eastAsia" w:ascii="仿宋" w:hAnsi="仿宋" w:eastAsia="仿宋"/>
          <w:szCs w:val="21"/>
        </w:rPr>
        <w:t>按照公司制定的停车场清洁服务安排及标准进行工作。</w:t>
      </w:r>
    </w:p>
    <w:p>
      <w:pPr>
        <w:numPr>
          <w:ilvl w:val="0"/>
          <w:numId w:val="18"/>
        </w:numPr>
        <w:spacing w:line="360" w:lineRule="auto"/>
        <w:rPr>
          <w:rFonts w:ascii="仿宋" w:hAnsi="仿宋" w:eastAsia="仿宋"/>
          <w:szCs w:val="21"/>
        </w:rPr>
      </w:pPr>
      <w:r>
        <w:rPr>
          <w:rFonts w:hint="eastAsia" w:ascii="仿宋" w:hAnsi="仿宋" w:eastAsia="仿宋"/>
          <w:szCs w:val="21"/>
        </w:rPr>
        <w:t>负责停车场配套设备及消防设施、排风口及照明等系统的清洁工作。</w:t>
      </w:r>
    </w:p>
    <w:p>
      <w:pPr>
        <w:numPr>
          <w:ilvl w:val="0"/>
          <w:numId w:val="18"/>
        </w:numPr>
        <w:spacing w:line="360" w:lineRule="auto"/>
        <w:rPr>
          <w:rFonts w:ascii="仿宋" w:hAnsi="仿宋" w:eastAsia="仿宋"/>
          <w:szCs w:val="21"/>
        </w:rPr>
      </w:pPr>
      <w:r>
        <w:rPr>
          <w:rFonts w:hint="eastAsia" w:ascii="仿宋" w:hAnsi="仿宋" w:eastAsia="仿宋"/>
          <w:szCs w:val="21"/>
        </w:rPr>
        <w:t>保障停车场排水沟的畅通、定期清理。</w:t>
      </w:r>
    </w:p>
    <w:p>
      <w:pPr>
        <w:tabs>
          <w:tab w:val="left" w:pos="0"/>
        </w:tabs>
        <w:spacing w:line="360" w:lineRule="auto"/>
        <w:rPr>
          <w:rFonts w:ascii="仿宋" w:hAnsi="仿宋" w:eastAsia="仿宋"/>
          <w:szCs w:val="21"/>
        </w:rPr>
      </w:pPr>
      <w:bookmarkStart w:id="23" w:name="_Toc98150597"/>
    </w:p>
    <w:p>
      <w:pPr>
        <w:numPr>
          <w:ilvl w:val="0"/>
          <w:numId w:val="13"/>
        </w:numPr>
        <w:spacing w:afterLines="100"/>
        <w:jc w:val="left"/>
        <w:outlineLvl w:val="0"/>
        <w:rPr>
          <w:rFonts w:ascii="仿宋" w:hAnsi="仿宋" w:eastAsia="仿宋" w:cs="宋体"/>
          <w:b/>
          <w:bCs/>
          <w:szCs w:val="21"/>
        </w:rPr>
      </w:pPr>
      <w:r>
        <w:rPr>
          <w:rFonts w:hint="eastAsia" w:ascii="仿宋" w:hAnsi="仿宋" w:eastAsia="仿宋" w:cs="宋体"/>
          <w:b/>
          <w:bCs/>
          <w:szCs w:val="21"/>
        </w:rPr>
        <w:t>水电维修岗位职责</w:t>
      </w:r>
      <w:bookmarkEnd w:id="23"/>
    </w:p>
    <w:p>
      <w:pPr>
        <w:numPr>
          <w:ilvl w:val="0"/>
          <w:numId w:val="19"/>
        </w:numPr>
        <w:spacing w:line="360" w:lineRule="auto"/>
        <w:rPr>
          <w:rFonts w:ascii="仿宋" w:hAnsi="仿宋" w:eastAsia="仿宋"/>
          <w:szCs w:val="21"/>
        </w:rPr>
      </w:pPr>
      <w:r>
        <w:rPr>
          <w:rFonts w:hint="eastAsia" w:ascii="仿宋" w:hAnsi="仿宋" w:eastAsia="仿宋"/>
          <w:szCs w:val="21"/>
        </w:rPr>
        <w:t>负责每天对停车场的巡查，保证各设施设备的正常运行。</w:t>
      </w:r>
    </w:p>
    <w:p>
      <w:pPr>
        <w:numPr>
          <w:ilvl w:val="0"/>
          <w:numId w:val="19"/>
        </w:numPr>
        <w:spacing w:line="360" w:lineRule="auto"/>
        <w:rPr>
          <w:rFonts w:ascii="仿宋" w:hAnsi="仿宋" w:eastAsia="仿宋"/>
          <w:szCs w:val="21"/>
        </w:rPr>
      </w:pPr>
      <w:r>
        <w:rPr>
          <w:rFonts w:hint="eastAsia" w:ascii="仿宋" w:hAnsi="仿宋" w:eastAsia="仿宋"/>
          <w:szCs w:val="21"/>
        </w:rPr>
        <w:t>对车场内的消防系统、排风系统、照明系统、排水系统等做周月检工作，排除故障隐患，并认真执行运行管理规程。</w:t>
      </w:r>
    </w:p>
    <w:p>
      <w:pPr>
        <w:numPr>
          <w:ilvl w:val="0"/>
          <w:numId w:val="19"/>
        </w:numPr>
        <w:spacing w:line="360" w:lineRule="auto"/>
        <w:rPr>
          <w:rFonts w:ascii="仿宋" w:hAnsi="仿宋" w:eastAsia="仿宋"/>
          <w:szCs w:val="21"/>
        </w:rPr>
      </w:pPr>
      <w:r>
        <w:rPr>
          <w:rFonts w:hint="eastAsia" w:ascii="仿宋" w:hAnsi="仿宋" w:eastAsia="仿宋"/>
          <w:szCs w:val="21"/>
        </w:rPr>
        <w:t>负责对停车管理收费系统运行状态的检测，发现故障立即上报并填写《车辆管理日检表》，同时迅速联系设备供货商进行维修，做好协助工作。</w:t>
      </w:r>
    </w:p>
    <w:p>
      <w:pPr>
        <w:numPr>
          <w:ilvl w:val="0"/>
          <w:numId w:val="19"/>
        </w:numPr>
        <w:spacing w:line="360" w:lineRule="auto"/>
        <w:rPr>
          <w:rFonts w:ascii="仿宋" w:hAnsi="仿宋" w:eastAsia="仿宋"/>
          <w:szCs w:val="21"/>
        </w:rPr>
      </w:pPr>
      <w:r>
        <w:rPr>
          <w:rFonts w:hint="eastAsia" w:ascii="仿宋" w:hAnsi="仿宋" w:eastAsia="仿宋"/>
          <w:szCs w:val="21"/>
        </w:rPr>
        <w:t>负责车场内停车标识，建筑物等公共设施的检查维护工作，以确保场管理工作顺利及有效开展。</w:t>
      </w:r>
    </w:p>
    <w:p>
      <w:pPr>
        <w:numPr>
          <w:ilvl w:val="0"/>
          <w:numId w:val="19"/>
        </w:numPr>
        <w:spacing w:line="360" w:lineRule="auto"/>
        <w:rPr>
          <w:rFonts w:ascii="仿宋" w:hAnsi="仿宋" w:eastAsia="仿宋"/>
          <w:szCs w:val="21"/>
        </w:rPr>
      </w:pPr>
      <w:r>
        <w:rPr>
          <w:rFonts w:hint="eastAsia" w:ascii="仿宋" w:hAnsi="仿宋" w:eastAsia="仿宋"/>
          <w:szCs w:val="21"/>
        </w:rPr>
        <w:t>协助车场清洁人员清除排水渠的污积、排风口及地面油污的清洁工作。</w:t>
      </w:r>
    </w:p>
    <w:p>
      <w:pPr>
        <w:tabs>
          <w:tab w:val="left" w:pos="0"/>
        </w:tabs>
        <w:spacing w:line="360" w:lineRule="auto"/>
        <w:rPr>
          <w:rFonts w:ascii="仿宋" w:hAnsi="仿宋" w:eastAsia="仿宋"/>
          <w:szCs w:val="21"/>
        </w:rPr>
      </w:pPr>
    </w:p>
    <w:p>
      <w:pPr>
        <w:numPr>
          <w:ilvl w:val="0"/>
          <w:numId w:val="13"/>
        </w:numPr>
        <w:spacing w:afterLines="100"/>
        <w:jc w:val="left"/>
        <w:outlineLvl w:val="0"/>
        <w:rPr>
          <w:rFonts w:ascii="仿宋" w:hAnsi="仿宋" w:eastAsia="仿宋" w:cs="宋体"/>
          <w:b/>
          <w:bCs/>
          <w:szCs w:val="21"/>
        </w:rPr>
      </w:pPr>
      <w:bookmarkStart w:id="24" w:name="_Toc98150598"/>
      <w:r>
        <w:rPr>
          <w:rFonts w:hint="eastAsia" w:ascii="仿宋" w:hAnsi="仿宋" w:eastAsia="仿宋" w:cs="宋体"/>
          <w:b/>
          <w:bCs/>
          <w:szCs w:val="21"/>
        </w:rPr>
        <w:t>监控岗位职责</w:t>
      </w:r>
      <w:bookmarkEnd w:id="24"/>
    </w:p>
    <w:p>
      <w:pPr>
        <w:numPr>
          <w:ilvl w:val="0"/>
          <w:numId w:val="20"/>
        </w:numPr>
        <w:spacing w:line="360" w:lineRule="auto"/>
        <w:rPr>
          <w:rFonts w:ascii="仿宋" w:hAnsi="仿宋" w:eastAsia="仿宋"/>
          <w:szCs w:val="21"/>
        </w:rPr>
      </w:pPr>
      <w:r>
        <w:rPr>
          <w:rFonts w:hint="eastAsia" w:ascii="仿宋" w:hAnsi="仿宋" w:eastAsia="仿宋"/>
          <w:szCs w:val="21"/>
        </w:rPr>
        <w:t>熟悉掌握中控室设备的性能在，严格执行操作规程。密切注视车场内车辆行驶，人员进出情况，发现异常情况立即上报，并保存好现场录像。</w:t>
      </w:r>
    </w:p>
    <w:p>
      <w:pPr>
        <w:numPr>
          <w:ilvl w:val="0"/>
          <w:numId w:val="20"/>
        </w:numPr>
        <w:spacing w:line="360" w:lineRule="auto"/>
        <w:rPr>
          <w:rFonts w:ascii="仿宋" w:hAnsi="仿宋" w:eastAsia="仿宋"/>
          <w:szCs w:val="21"/>
        </w:rPr>
      </w:pPr>
      <w:r>
        <w:rPr>
          <w:rFonts w:hint="eastAsia" w:ascii="仿宋" w:hAnsi="仿宋" w:eastAsia="仿宋"/>
          <w:szCs w:val="21"/>
        </w:rPr>
        <w:t>相关部门或个人调取录像内容，必须有公安机关和公司的批准，不得私自随意泄露。</w:t>
      </w:r>
    </w:p>
    <w:p>
      <w:pPr>
        <w:numPr>
          <w:ilvl w:val="0"/>
          <w:numId w:val="20"/>
        </w:numPr>
        <w:spacing w:line="360" w:lineRule="auto"/>
        <w:rPr>
          <w:rFonts w:ascii="仿宋" w:hAnsi="仿宋" w:eastAsia="仿宋"/>
          <w:szCs w:val="21"/>
        </w:rPr>
      </w:pPr>
      <w:r>
        <w:rPr>
          <w:rFonts w:hint="eastAsia" w:ascii="仿宋" w:hAnsi="仿宋" w:eastAsia="仿宋"/>
          <w:szCs w:val="21"/>
        </w:rPr>
        <w:t>工作时间严格遵守中控室值班制度，不得脱岗或睡觉。</w:t>
      </w:r>
    </w:p>
    <w:p>
      <w:pPr>
        <w:numPr>
          <w:ilvl w:val="0"/>
          <w:numId w:val="20"/>
        </w:numPr>
        <w:spacing w:line="360" w:lineRule="auto"/>
        <w:rPr>
          <w:rFonts w:ascii="仿宋" w:hAnsi="仿宋" w:eastAsia="仿宋"/>
          <w:szCs w:val="21"/>
        </w:rPr>
      </w:pPr>
      <w:r>
        <w:rPr>
          <w:rFonts w:hint="eastAsia" w:ascii="仿宋" w:hAnsi="仿宋" w:eastAsia="仿宋"/>
          <w:szCs w:val="21"/>
        </w:rPr>
        <w:t>认真、仔细地做好值班记录。</w:t>
      </w:r>
    </w:p>
    <w:p>
      <w:pPr>
        <w:numPr>
          <w:ilvl w:val="0"/>
          <w:numId w:val="20"/>
        </w:numPr>
        <w:spacing w:line="360" w:lineRule="auto"/>
        <w:rPr>
          <w:rFonts w:ascii="仿宋" w:hAnsi="仿宋" w:eastAsia="仿宋"/>
          <w:szCs w:val="21"/>
        </w:rPr>
      </w:pPr>
      <w:r>
        <w:rPr>
          <w:rFonts w:hint="eastAsia" w:ascii="仿宋" w:hAnsi="仿宋" w:eastAsia="仿宋"/>
          <w:szCs w:val="21"/>
        </w:rPr>
        <w:t>爱护中控室的设施、设备及所有物品，发现故障应立即汇报。</w:t>
      </w:r>
    </w:p>
    <w:p>
      <w:pPr>
        <w:numPr>
          <w:ilvl w:val="0"/>
          <w:numId w:val="20"/>
        </w:numPr>
        <w:spacing w:line="360" w:lineRule="auto"/>
        <w:rPr>
          <w:rFonts w:ascii="仿宋" w:hAnsi="仿宋" w:eastAsia="仿宋"/>
          <w:szCs w:val="21"/>
        </w:rPr>
      </w:pPr>
      <w:r>
        <w:rPr>
          <w:rFonts w:hint="eastAsia" w:ascii="仿宋" w:hAnsi="仿宋" w:eastAsia="仿宋"/>
          <w:szCs w:val="21"/>
        </w:rPr>
        <w:t>做好交接班工作，接班人员应提前十分钟到岗检查记录情况，如果接班人员未按时到岗，上一班人员不得加班，直到接班人员岗。</w:t>
      </w:r>
    </w:p>
    <w:p>
      <w:pPr>
        <w:numPr>
          <w:ilvl w:val="0"/>
          <w:numId w:val="20"/>
        </w:numPr>
        <w:spacing w:line="360" w:lineRule="auto"/>
        <w:rPr>
          <w:rFonts w:ascii="仿宋" w:hAnsi="仿宋" w:eastAsia="仿宋"/>
          <w:szCs w:val="21"/>
        </w:rPr>
      </w:pPr>
      <w:r>
        <w:rPr>
          <w:rFonts w:hint="eastAsia" w:ascii="仿宋" w:hAnsi="仿宋" w:eastAsia="仿宋"/>
          <w:szCs w:val="21"/>
        </w:rPr>
        <w:t>保持监控值班室的干净、清洁。</w:t>
      </w:r>
    </w:p>
    <w:p>
      <w:pPr>
        <w:tabs>
          <w:tab w:val="left" w:pos="0"/>
        </w:tabs>
        <w:spacing w:line="360" w:lineRule="auto"/>
        <w:rPr>
          <w:rFonts w:ascii="仿宋" w:hAnsi="仿宋" w:eastAsia="仿宋"/>
          <w:szCs w:val="21"/>
        </w:rPr>
      </w:pPr>
    </w:p>
    <w:p>
      <w:pPr>
        <w:numPr>
          <w:ilvl w:val="0"/>
          <w:numId w:val="6"/>
        </w:numPr>
        <w:spacing w:afterLines="100"/>
        <w:jc w:val="left"/>
        <w:outlineLvl w:val="0"/>
        <w:rPr>
          <w:rFonts w:ascii="仿宋" w:hAnsi="仿宋" w:eastAsia="仿宋" w:cs="宋体"/>
          <w:b/>
          <w:szCs w:val="21"/>
        </w:rPr>
      </w:pPr>
      <w:r>
        <w:rPr>
          <w:rFonts w:hint="eastAsia" w:ascii="仿宋" w:hAnsi="仿宋" w:eastAsia="仿宋" w:cs="宋体"/>
          <w:b/>
          <w:szCs w:val="21"/>
        </w:rPr>
        <w:t>停车场各项管理制度</w:t>
      </w:r>
    </w:p>
    <w:p>
      <w:pPr>
        <w:spacing w:afterLines="100"/>
        <w:jc w:val="left"/>
        <w:outlineLvl w:val="0"/>
        <w:rPr>
          <w:rFonts w:ascii="仿宋" w:hAnsi="仿宋" w:eastAsia="仿宋" w:cs="宋体"/>
          <w:b/>
          <w:szCs w:val="21"/>
        </w:rPr>
      </w:pPr>
      <w:r>
        <w:rPr>
          <w:rFonts w:hint="eastAsia" w:ascii="仿宋" w:hAnsi="仿宋" w:eastAsia="仿宋" w:cs="宋体"/>
          <w:b/>
          <w:bCs/>
          <w:szCs w:val="21"/>
        </w:rPr>
        <w:t>（一）公共停车场管理制度</w:t>
      </w:r>
    </w:p>
    <w:p>
      <w:pPr>
        <w:tabs>
          <w:tab w:val="center" w:pos="4153"/>
          <w:tab w:val="left" w:pos="6597"/>
        </w:tabs>
        <w:spacing w:line="360" w:lineRule="auto"/>
        <w:ind w:left="210" w:leftChars="100" w:firstLine="420" w:firstLineChars="200"/>
        <w:rPr>
          <w:rFonts w:ascii="仿宋" w:hAnsi="仿宋" w:eastAsia="仿宋" w:cs="宋体"/>
          <w:szCs w:val="21"/>
        </w:rPr>
      </w:pPr>
      <w:r>
        <w:rPr>
          <w:rFonts w:hint="eastAsia" w:ascii="仿宋" w:hAnsi="仿宋" w:eastAsia="仿宋" w:cs="宋体"/>
          <w:szCs w:val="21"/>
        </w:rPr>
        <w:t>为确保车场秩序良好及人员安全，凡驾车进入本车场的司乘人员必须严格遵守以下规定：</w:t>
      </w:r>
    </w:p>
    <w:p>
      <w:pPr>
        <w:numPr>
          <w:ilvl w:val="0"/>
          <w:numId w:val="21"/>
        </w:numPr>
        <w:spacing w:line="360" w:lineRule="auto"/>
        <w:rPr>
          <w:rFonts w:ascii="仿宋" w:hAnsi="仿宋" w:eastAsia="仿宋"/>
          <w:szCs w:val="21"/>
        </w:rPr>
      </w:pPr>
      <w:r>
        <w:rPr>
          <w:rFonts w:hint="eastAsia" w:ascii="仿宋" w:hAnsi="仿宋" w:eastAsia="仿宋"/>
          <w:szCs w:val="21"/>
        </w:rPr>
        <w:t>固定停车</w:t>
      </w:r>
    </w:p>
    <w:p>
      <w:pPr>
        <w:numPr>
          <w:ilvl w:val="0"/>
          <w:numId w:val="22"/>
        </w:numPr>
        <w:tabs>
          <w:tab w:val="left" w:pos="630"/>
          <w:tab w:val="clear" w:pos="420"/>
        </w:tabs>
        <w:spacing w:line="400" w:lineRule="exact"/>
        <w:rPr>
          <w:rFonts w:ascii="仿宋" w:hAnsi="仿宋" w:eastAsia="仿宋" w:cs="宋体"/>
          <w:szCs w:val="21"/>
        </w:rPr>
      </w:pPr>
      <w:r>
        <w:rPr>
          <w:rFonts w:hint="eastAsia" w:ascii="仿宋" w:hAnsi="仿宋" w:eastAsia="仿宋" w:cs="宋体"/>
          <w:szCs w:val="21"/>
        </w:rPr>
        <w:t>固定停车按年预先支付固定车位使用费。</w:t>
      </w:r>
    </w:p>
    <w:p>
      <w:pPr>
        <w:numPr>
          <w:ilvl w:val="0"/>
          <w:numId w:val="22"/>
        </w:numPr>
        <w:tabs>
          <w:tab w:val="left" w:pos="630"/>
          <w:tab w:val="clear" w:pos="420"/>
        </w:tabs>
        <w:spacing w:line="400" w:lineRule="exact"/>
        <w:rPr>
          <w:rFonts w:ascii="仿宋" w:hAnsi="仿宋" w:eastAsia="仿宋" w:cs="宋体"/>
          <w:szCs w:val="21"/>
        </w:rPr>
      </w:pPr>
      <w:r>
        <w:rPr>
          <w:rFonts w:hint="eastAsia" w:ascii="仿宋" w:hAnsi="仿宋" w:eastAsia="仿宋" w:cs="宋体"/>
          <w:szCs w:val="21"/>
        </w:rPr>
        <w:t>固定停车由物业管理部确认登记车辆，变更车辆信息，重新登记请提前一周办理。</w:t>
      </w:r>
    </w:p>
    <w:p>
      <w:pPr>
        <w:numPr>
          <w:ilvl w:val="0"/>
          <w:numId w:val="22"/>
        </w:numPr>
        <w:tabs>
          <w:tab w:val="left" w:pos="630"/>
          <w:tab w:val="clear" w:pos="420"/>
        </w:tabs>
        <w:spacing w:line="400" w:lineRule="exact"/>
        <w:rPr>
          <w:rFonts w:ascii="仿宋" w:hAnsi="仿宋" w:eastAsia="仿宋" w:cs="宋体"/>
          <w:szCs w:val="21"/>
        </w:rPr>
      </w:pPr>
      <w:r>
        <w:rPr>
          <w:rFonts w:hint="eastAsia" w:ascii="仿宋" w:hAnsi="仿宋" w:eastAsia="仿宋" w:cs="宋体"/>
          <w:szCs w:val="21"/>
        </w:rPr>
        <w:t>固定车位的使用人士须遵守与管理部签订的《车位服务协议书》之内容。</w:t>
      </w:r>
    </w:p>
    <w:p>
      <w:pPr>
        <w:numPr>
          <w:ilvl w:val="0"/>
          <w:numId w:val="21"/>
        </w:numPr>
        <w:spacing w:line="360" w:lineRule="auto"/>
        <w:rPr>
          <w:rFonts w:ascii="仿宋" w:hAnsi="仿宋" w:eastAsia="仿宋"/>
          <w:szCs w:val="21"/>
        </w:rPr>
      </w:pPr>
      <w:r>
        <w:rPr>
          <w:rFonts w:hint="eastAsia" w:ascii="仿宋" w:hAnsi="仿宋" w:eastAsia="仿宋"/>
          <w:szCs w:val="21"/>
        </w:rPr>
        <w:t>车辆停放规定</w:t>
      </w:r>
    </w:p>
    <w:p>
      <w:pPr>
        <w:numPr>
          <w:ilvl w:val="0"/>
          <w:numId w:val="23"/>
        </w:numPr>
        <w:tabs>
          <w:tab w:val="left" w:pos="0"/>
          <w:tab w:val="clear" w:pos="420"/>
        </w:tabs>
        <w:spacing w:line="360" w:lineRule="auto"/>
        <w:rPr>
          <w:rFonts w:ascii="仿宋" w:hAnsi="仿宋" w:eastAsia="仿宋"/>
          <w:szCs w:val="21"/>
        </w:rPr>
      </w:pPr>
      <w:r>
        <w:rPr>
          <w:rFonts w:hint="eastAsia" w:ascii="仿宋" w:hAnsi="仿宋" w:eastAsia="仿宋"/>
          <w:szCs w:val="21"/>
        </w:rPr>
        <w:t>使用人士在车场内驾驶或停放车辆时，必须严格遵守管理部之合法指示（无论是言语，书面或符号等均属有效）。</w:t>
      </w:r>
    </w:p>
    <w:p>
      <w:pPr>
        <w:numPr>
          <w:ilvl w:val="0"/>
          <w:numId w:val="23"/>
        </w:numPr>
        <w:tabs>
          <w:tab w:val="left" w:pos="0"/>
          <w:tab w:val="clear" w:pos="420"/>
        </w:tabs>
        <w:spacing w:line="360" w:lineRule="auto"/>
        <w:rPr>
          <w:rFonts w:ascii="仿宋" w:hAnsi="仿宋" w:eastAsia="仿宋"/>
          <w:szCs w:val="21"/>
        </w:rPr>
      </w:pPr>
      <w:r>
        <w:rPr>
          <w:rFonts w:hint="eastAsia" w:ascii="仿宋" w:hAnsi="仿宋" w:eastAsia="仿宋"/>
          <w:szCs w:val="21"/>
        </w:rPr>
        <w:t>使用</w:t>
      </w:r>
      <w:r>
        <w:rPr>
          <w:rFonts w:hint="eastAsia" w:ascii="仿宋" w:hAnsi="仿宋" w:eastAsia="仿宋" w:cs="宋体"/>
          <w:szCs w:val="21"/>
        </w:rPr>
        <w:t>人士不得将车辆停放于他人之固定停车位，预留车位或其它非泊车位置或阻碍任何通道。</w:t>
      </w:r>
    </w:p>
    <w:p>
      <w:pPr>
        <w:numPr>
          <w:ilvl w:val="0"/>
          <w:numId w:val="23"/>
        </w:numPr>
        <w:tabs>
          <w:tab w:val="left" w:pos="0"/>
          <w:tab w:val="clear" w:pos="420"/>
        </w:tabs>
        <w:spacing w:line="360" w:lineRule="auto"/>
        <w:rPr>
          <w:rFonts w:ascii="仿宋" w:hAnsi="仿宋" w:eastAsia="仿宋"/>
          <w:szCs w:val="21"/>
        </w:rPr>
      </w:pPr>
      <w:r>
        <w:rPr>
          <w:rFonts w:hint="eastAsia" w:ascii="仿宋" w:hAnsi="仿宋" w:eastAsia="仿宋"/>
          <w:szCs w:val="21"/>
        </w:rPr>
        <w:t>使用人士不得在本车场范围内维修、清洗车辆。</w:t>
      </w:r>
    </w:p>
    <w:p>
      <w:pPr>
        <w:numPr>
          <w:ilvl w:val="0"/>
          <w:numId w:val="23"/>
        </w:numPr>
        <w:tabs>
          <w:tab w:val="left" w:pos="0"/>
          <w:tab w:val="clear" w:pos="420"/>
        </w:tabs>
        <w:spacing w:line="360" w:lineRule="auto"/>
        <w:rPr>
          <w:rFonts w:ascii="仿宋" w:hAnsi="仿宋" w:eastAsia="仿宋"/>
          <w:szCs w:val="21"/>
        </w:rPr>
      </w:pPr>
      <w:r>
        <w:rPr>
          <w:rFonts w:hint="eastAsia" w:ascii="仿宋" w:hAnsi="仿宋" w:eastAsia="仿宋"/>
          <w:szCs w:val="21"/>
        </w:rPr>
        <w:t>任何使用人士不得在本车场范围内进行停车以外的活动。</w:t>
      </w:r>
    </w:p>
    <w:p>
      <w:pPr>
        <w:numPr>
          <w:ilvl w:val="0"/>
          <w:numId w:val="23"/>
        </w:numPr>
        <w:tabs>
          <w:tab w:val="left" w:pos="0"/>
          <w:tab w:val="clear" w:pos="420"/>
        </w:tabs>
        <w:spacing w:line="360" w:lineRule="auto"/>
        <w:rPr>
          <w:rFonts w:ascii="仿宋" w:hAnsi="仿宋" w:eastAsia="仿宋"/>
          <w:szCs w:val="21"/>
        </w:rPr>
      </w:pPr>
      <w:r>
        <w:rPr>
          <w:rFonts w:hint="eastAsia" w:ascii="仿宋" w:hAnsi="仿宋" w:eastAsia="仿宋"/>
          <w:szCs w:val="21"/>
        </w:rPr>
        <w:t>本车场之车位仅供停放车辆之用，任何使用人士不得利用其租赁车位堆放其它物品，亦不得将非机动车（含摩托车）停放于机动车位。</w:t>
      </w:r>
    </w:p>
    <w:p>
      <w:pPr>
        <w:numPr>
          <w:ilvl w:val="0"/>
          <w:numId w:val="23"/>
        </w:numPr>
        <w:tabs>
          <w:tab w:val="left" w:pos="0"/>
          <w:tab w:val="clear" w:pos="420"/>
        </w:tabs>
        <w:spacing w:line="360" w:lineRule="auto"/>
        <w:rPr>
          <w:rFonts w:ascii="仿宋" w:hAnsi="仿宋" w:eastAsia="仿宋"/>
          <w:szCs w:val="21"/>
        </w:rPr>
      </w:pPr>
      <w:r>
        <w:rPr>
          <w:rFonts w:hint="eastAsia" w:ascii="仿宋" w:hAnsi="仿宋" w:eastAsia="仿宋"/>
          <w:szCs w:val="21"/>
        </w:rPr>
        <w:t>使用人士不得违反停车场内标志的规定，并不得将车辆停放于指定车位界线之外。</w:t>
      </w:r>
    </w:p>
    <w:p>
      <w:pPr>
        <w:numPr>
          <w:ilvl w:val="0"/>
          <w:numId w:val="23"/>
        </w:numPr>
        <w:tabs>
          <w:tab w:val="left" w:pos="0"/>
          <w:tab w:val="clear" w:pos="420"/>
        </w:tabs>
        <w:spacing w:line="360" w:lineRule="auto"/>
        <w:rPr>
          <w:rFonts w:ascii="仿宋" w:hAnsi="仿宋" w:eastAsia="仿宋"/>
          <w:szCs w:val="21"/>
        </w:rPr>
      </w:pPr>
      <w:r>
        <w:rPr>
          <w:rFonts w:hint="eastAsia" w:ascii="仿宋" w:hAnsi="仿宋" w:eastAsia="仿宋"/>
          <w:szCs w:val="21"/>
        </w:rPr>
        <w:t>进入本车场之车辆应持有有效的车辆保险。</w:t>
      </w:r>
    </w:p>
    <w:p>
      <w:pPr>
        <w:numPr>
          <w:ilvl w:val="0"/>
          <w:numId w:val="24"/>
        </w:numPr>
        <w:tabs>
          <w:tab w:val="left" w:pos="0"/>
        </w:tabs>
        <w:spacing w:line="360" w:lineRule="auto"/>
        <w:rPr>
          <w:rFonts w:ascii="仿宋" w:hAnsi="仿宋" w:eastAsia="仿宋"/>
          <w:szCs w:val="21"/>
        </w:rPr>
      </w:pPr>
      <w:r>
        <w:rPr>
          <w:rFonts w:hint="eastAsia" w:ascii="仿宋" w:hAnsi="仿宋" w:eastAsia="仿宋"/>
          <w:szCs w:val="21"/>
        </w:rPr>
        <w:t>进入停车场的车辆必须自觉接受管理人员的检查，停放车辆时必须按指定的位置停放。</w:t>
      </w:r>
    </w:p>
    <w:p>
      <w:pPr>
        <w:numPr>
          <w:ilvl w:val="0"/>
          <w:numId w:val="24"/>
        </w:numPr>
        <w:tabs>
          <w:tab w:val="left" w:pos="0"/>
        </w:tabs>
        <w:spacing w:line="360" w:lineRule="auto"/>
        <w:rPr>
          <w:rFonts w:ascii="仿宋" w:hAnsi="仿宋" w:eastAsia="仿宋"/>
          <w:szCs w:val="21"/>
        </w:rPr>
      </w:pPr>
      <w:r>
        <w:rPr>
          <w:rFonts w:hint="eastAsia" w:ascii="仿宋" w:hAnsi="仿宋" w:eastAsia="仿宋"/>
          <w:szCs w:val="21"/>
        </w:rPr>
        <w:t>严禁装载有易燃、易爆或剧毒危险物品的车辆进入车场，如违反规定擅自进入，发生事故，除承担全部经济责任外，并追究有关人员的法律责任。</w:t>
      </w:r>
    </w:p>
    <w:p>
      <w:pPr>
        <w:numPr>
          <w:ilvl w:val="0"/>
          <w:numId w:val="24"/>
        </w:numPr>
        <w:tabs>
          <w:tab w:val="left" w:pos="0"/>
        </w:tabs>
        <w:spacing w:line="360" w:lineRule="auto"/>
        <w:rPr>
          <w:rFonts w:ascii="仿宋" w:hAnsi="仿宋" w:eastAsia="仿宋"/>
          <w:szCs w:val="21"/>
        </w:rPr>
      </w:pPr>
      <w:r>
        <w:rPr>
          <w:rFonts w:hint="eastAsia" w:ascii="仿宋" w:hAnsi="仿宋" w:eastAsia="仿宋"/>
          <w:szCs w:val="21"/>
        </w:rPr>
        <w:t>本停车场收费只提供泊车车位，泊车后请自行锁好车辆，关好门窗。妥善保管好证件票据和现金等实物，本车场对此不负，保管责任。</w:t>
      </w:r>
    </w:p>
    <w:p>
      <w:pPr>
        <w:numPr>
          <w:ilvl w:val="0"/>
          <w:numId w:val="24"/>
        </w:numPr>
        <w:tabs>
          <w:tab w:val="left" w:pos="0"/>
        </w:tabs>
        <w:spacing w:line="360" w:lineRule="auto"/>
        <w:rPr>
          <w:rFonts w:ascii="仿宋" w:hAnsi="仿宋" w:eastAsia="仿宋"/>
          <w:szCs w:val="21"/>
        </w:rPr>
      </w:pPr>
      <w:r>
        <w:rPr>
          <w:rFonts w:hint="eastAsia" w:ascii="仿宋" w:hAnsi="仿宋" w:eastAsia="仿宋"/>
          <w:szCs w:val="21"/>
        </w:rPr>
        <w:t>本停车场的车位分为固定车位和临时车位，固定车位协议租用，不得退让。泊车时请自觉按指定位置分别停泊，不允许乱停乱乱泊。凡违反规定、拒交费用、强行乱停乱放、不听劝告和车辆，本车场将采限相应在措施，不排除将车辆扣车或拖离车场，并作严肃处理，相关费用由车主负责。</w:t>
      </w:r>
    </w:p>
    <w:p>
      <w:pPr>
        <w:numPr>
          <w:ilvl w:val="0"/>
          <w:numId w:val="24"/>
        </w:numPr>
        <w:tabs>
          <w:tab w:val="left" w:pos="0"/>
        </w:tabs>
        <w:spacing w:line="360" w:lineRule="auto"/>
        <w:rPr>
          <w:rFonts w:ascii="仿宋" w:hAnsi="仿宋" w:eastAsia="仿宋"/>
          <w:szCs w:val="21"/>
        </w:rPr>
      </w:pPr>
      <w:r>
        <w:rPr>
          <w:rFonts w:hint="eastAsia" w:ascii="仿宋" w:hAnsi="仿宋" w:eastAsia="仿宋"/>
          <w:szCs w:val="21"/>
        </w:rPr>
        <w:t>临时停泊车辆应入闸取卡，离场时在出入口自觉交费，车辆离场。未缴费者的车辆有权拒绝放行，直至全部付清方可离场。</w:t>
      </w:r>
    </w:p>
    <w:p>
      <w:pPr>
        <w:numPr>
          <w:ilvl w:val="0"/>
          <w:numId w:val="24"/>
        </w:numPr>
        <w:tabs>
          <w:tab w:val="left" w:pos="0"/>
        </w:tabs>
        <w:spacing w:line="360" w:lineRule="auto"/>
        <w:rPr>
          <w:rFonts w:ascii="仿宋" w:hAnsi="仿宋" w:eastAsia="仿宋"/>
          <w:szCs w:val="21"/>
        </w:rPr>
      </w:pPr>
      <w:r>
        <w:rPr>
          <w:rFonts w:hint="eastAsia" w:ascii="仿宋" w:hAnsi="仿宋" w:eastAsia="仿宋"/>
          <w:szCs w:val="21"/>
        </w:rPr>
        <w:t>固定车辆必须按年预先支付固定车位使用费，按年预先支付固定车位使用费。</w:t>
      </w:r>
    </w:p>
    <w:p>
      <w:pPr>
        <w:numPr>
          <w:ilvl w:val="0"/>
          <w:numId w:val="24"/>
        </w:numPr>
        <w:tabs>
          <w:tab w:val="left" w:pos="0"/>
        </w:tabs>
        <w:spacing w:line="360" w:lineRule="auto"/>
        <w:rPr>
          <w:rFonts w:ascii="仿宋" w:hAnsi="仿宋" w:eastAsia="仿宋"/>
          <w:szCs w:val="21"/>
        </w:rPr>
      </w:pPr>
      <w:r>
        <w:rPr>
          <w:rFonts w:hint="eastAsia" w:ascii="仿宋" w:hAnsi="仿宋" w:eastAsia="仿宋"/>
          <w:szCs w:val="21"/>
        </w:rPr>
        <w:t>保持车场内清洁，不准在车场内清洗车辆，不准随意动用消防设施，不准在车辆内加油和维修车辆，不准在车场内弃置垃圾。</w:t>
      </w:r>
    </w:p>
    <w:p>
      <w:pPr>
        <w:numPr>
          <w:ilvl w:val="0"/>
          <w:numId w:val="24"/>
        </w:numPr>
        <w:tabs>
          <w:tab w:val="left" w:pos="0"/>
        </w:tabs>
        <w:spacing w:line="360" w:lineRule="auto"/>
        <w:rPr>
          <w:rFonts w:ascii="仿宋" w:hAnsi="仿宋" w:eastAsia="仿宋"/>
          <w:szCs w:val="21"/>
        </w:rPr>
      </w:pPr>
      <w:r>
        <w:rPr>
          <w:rFonts w:hint="eastAsia" w:ascii="仿宋" w:hAnsi="仿宋" w:eastAsia="仿宋"/>
          <w:szCs w:val="21"/>
        </w:rPr>
        <w:t>爱护公物，车场内设施如有损坏，当事人需承担赔偿责任，如有故意冲卡，损坏收费器械设备或其它车辆内之设施，需照价赔偿。</w:t>
      </w:r>
    </w:p>
    <w:p>
      <w:pPr>
        <w:numPr>
          <w:ilvl w:val="0"/>
          <w:numId w:val="24"/>
        </w:numPr>
        <w:tabs>
          <w:tab w:val="left" w:pos="0"/>
        </w:tabs>
        <w:spacing w:line="360" w:lineRule="auto"/>
        <w:rPr>
          <w:rFonts w:ascii="仿宋" w:hAnsi="仿宋" w:eastAsia="仿宋"/>
          <w:szCs w:val="21"/>
        </w:rPr>
      </w:pPr>
      <w:r>
        <w:rPr>
          <w:rFonts w:hint="eastAsia" w:ascii="仿宋" w:hAnsi="仿宋" w:eastAsia="仿宋"/>
          <w:szCs w:val="21"/>
        </w:rPr>
        <w:t>车主必须遵守场内指示牌停车，车辆不得乱停乱放，不得妨碍停车场出入口通道。</w:t>
      </w:r>
    </w:p>
    <w:p>
      <w:pPr>
        <w:numPr>
          <w:ilvl w:val="0"/>
          <w:numId w:val="24"/>
        </w:numPr>
        <w:tabs>
          <w:tab w:val="left" w:pos="0"/>
        </w:tabs>
        <w:spacing w:line="360" w:lineRule="auto"/>
        <w:rPr>
          <w:rFonts w:ascii="仿宋" w:hAnsi="仿宋" w:eastAsia="仿宋"/>
          <w:szCs w:val="21"/>
        </w:rPr>
      </w:pPr>
      <w:r>
        <w:rPr>
          <w:rFonts w:hint="eastAsia" w:ascii="仿宋" w:hAnsi="仿宋" w:eastAsia="仿宋"/>
          <w:szCs w:val="21"/>
        </w:rPr>
        <w:t>凡在车场停放车辆的车主，有义务检举一切违法犯罪行为，共同把车场管理工作做好。如对本停车场管理人员有意见，可向车场负责人指出，或书面投诉。</w:t>
      </w:r>
    </w:p>
    <w:p>
      <w:pPr>
        <w:tabs>
          <w:tab w:val="left" w:pos="0"/>
        </w:tabs>
        <w:spacing w:line="360" w:lineRule="auto"/>
        <w:ind w:left="454"/>
        <w:rPr>
          <w:rFonts w:ascii="仿宋" w:hAnsi="仿宋" w:eastAsia="仿宋"/>
          <w:szCs w:val="21"/>
        </w:rPr>
      </w:pPr>
    </w:p>
    <w:p>
      <w:pPr>
        <w:spacing w:afterLines="100"/>
        <w:jc w:val="left"/>
        <w:outlineLvl w:val="0"/>
        <w:rPr>
          <w:rFonts w:ascii="仿宋" w:hAnsi="仿宋" w:eastAsia="仿宋"/>
          <w:szCs w:val="21"/>
        </w:rPr>
      </w:pPr>
      <w:r>
        <w:rPr>
          <w:rFonts w:hint="eastAsia" w:ascii="仿宋" w:hAnsi="仿宋" w:eastAsia="仿宋" w:cs="宋体"/>
          <w:b/>
          <w:bCs/>
          <w:szCs w:val="21"/>
        </w:rPr>
        <w:t>（二）停车场安全管理制度</w:t>
      </w:r>
    </w:p>
    <w:p>
      <w:pPr>
        <w:numPr>
          <w:ilvl w:val="0"/>
          <w:numId w:val="25"/>
        </w:numPr>
        <w:spacing w:line="360" w:lineRule="auto"/>
        <w:rPr>
          <w:rFonts w:ascii="仿宋" w:hAnsi="仿宋" w:eastAsia="仿宋"/>
          <w:szCs w:val="21"/>
        </w:rPr>
      </w:pPr>
      <w:r>
        <w:rPr>
          <w:rFonts w:hint="eastAsia" w:ascii="仿宋" w:hAnsi="仿宋" w:eastAsia="仿宋"/>
          <w:szCs w:val="21"/>
        </w:rPr>
        <w:t>出入口道闸必须处于正常工作状态。</w:t>
      </w:r>
    </w:p>
    <w:p>
      <w:pPr>
        <w:numPr>
          <w:ilvl w:val="0"/>
          <w:numId w:val="25"/>
        </w:numPr>
        <w:spacing w:line="360" w:lineRule="auto"/>
        <w:rPr>
          <w:rFonts w:ascii="仿宋" w:hAnsi="仿宋" w:eastAsia="仿宋"/>
          <w:szCs w:val="21"/>
        </w:rPr>
      </w:pPr>
      <w:r>
        <w:rPr>
          <w:rFonts w:hint="eastAsia" w:ascii="仿宋" w:hAnsi="仿宋" w:eastAsia="仿宋"/>
          <w:szCs w:val="21"/>
        </w:rPr>
        <w:t>灵活调动巡逻,每次巡逻须到指定位置,并留意清洁、照明、安全及设备情况,如有,则应予以记录并及时处理。</w:t>
      </w:r>
    </w:p>
    <w:p>
      <w:pPr>
        <w:numPr>
          <w:ilvl w:val="0"/>
          <w:numId w:val="25"/>
        </w:numPr>
        <w:spacing w:line="360" w:lineRule="auto"/>
        <w:rPr>
          <w:rFonts w:ascii="仿宋" w:hAnsi="仿宋" w:eastAsia="仿宋"/>
          <w:szCs w:val="21"/>
        </w:rPr>
      </w:pPr>
      <w:r>
        <w:rPr>
          <w:rFonts w:hint="eastAsia" w:ascii="仿宋" w:hAnsi="仿宋" w:eastAsia="仿宋"/>
          <w:szCs w:val="21"/>
        </w:rPr>
        <w:t>停车场内不准进行任何车辆修理,如属紧急维修,应通知主管,做好登记,情况属实方可实施,以防借口修理车辆而进行偷车之活动。</w:t>
      </w:r>
    </w:p>
    <w:p>
      <w:pPr>
        <w:numPr>
          <w:ilvl w:val="0"/>
          <w:numId w:val="25"/>
        </w:numPr>
        <w:spacing w:line="360" w:lineRule="auto"/>
        <w:rPr>
          <w:rFonts w:ascii="仿宋" w:hAnsi="仿宋" w:eastAsia="仿宋"/>
          <w:szCs w:val="21"/>
        </w:rPr>
      </w:pPr>
      <w:r>
        <w:rPr>
          <w:rFonts w:hint="eastAsia" w:ascii="仿宋" w:hAnsi="仿宋" w:eastAsia="仿宋"/>
          <w:szCs w:val="21"/>
        </w:rPr>
        <w:t>如有拖行车辆, 须查明证件及车主, 并通知负责人, 取得同意后, 方可放行。</w:t>
      </w:r>
    </w:p>
    <w:p>
      <w:pPr>
        <w:numPr>
          <w:ilvl w:val="0"/>
          <w:numId w:val="25"/>
        </w:numPr>
        <w:spacing w:line="360" w:lineRule="auto"/>
        <w:rPr>
          <w:rFonts w:ascii="仿宋" w:hAnsi="仿宋" w:eastAsia="仿宋"/>
          <w:szCs w:val="21"/>
        </w:rPr>
      </w:pPr>
      <w:r>
        <w:rPr>
          <w:rFonts w:hint="eastAsia" w:ascii="仿宋" w:hAnsi="仿宋" w:eastAsia="仿宋"/>
          <w:szCs w:val="21"/>
        </w:rPr>
        <w:t>遇有特殊情况, 立即通知主管或按照紧急事件预案应变。</w:t>
      </w:r>
    </w:p>
    <w:p>
      <w:pPr>
        <w:numPr>
          <w:ilvl w:val="0"/>
          <w:numId w:val="25"/>
        </w:numPr>
        <w:spacing w:line="360" w:lineRule="auto"/>
        <w:rPr>
          <w:rFonts w:ascii="仿宋" w:hAnsi="仿宋" w:eastAsia="仿宋"/>
          <w:szCs w:val="21"/>
        </w:rPr>
      </w:pPr>
      <w:r>
        <w:rPr>
          <w:rFonts w:hint="eastAsia" w:ascii="仿宋" w:hAnsi="仿宋" w:eastAsia="仿宋"/>
          <w:szCs w:val="21"/>
        </w:rPr>
        <w:t>正确指挥交通, 勿让出入口堵塞。</w:t>
      </w:r>
    </w:p>
    <w:p>
      <w:pPr>
        <w:numPr>
          <w:ilvl w:val="0"/>
          <w:numId w:val="25"/>
        </w:numPr>
        <w:spacing w:line="360" w:lineRule="auto"/>
        <w:rPr>
          <w:rFonts w:ascii="仿宋" w:hAnsi="仿宋" w:eastAsia="仿宋"/>
          <w:szCs w:val="21"/>
        </w:rPr>
      </w:pPr>
      <w:r>
        <w:rPr>
          <w:rFonts w:hint="eastAsia" w:ascii="仿宋" w:hAnsi="仿宋" w:eastAsia="仿宋"/>
          <w:szCs w:val="21"/>
        </w:rPr>
        <w:t>发现车辆门窗未关好或响警号,须立即通知领班或主管,然后再联系车主。</w:t>
      </w:r>
    </w:p>
    <w:p>
      <w:pPr>
        <w:numPr>
          <w:ilvl w:val="0"/>
          <w:numId w:val="25"/>
        </w:numPr>
        <w:spacing w:line="360" w:lineRule="auto"/>
        <w:rPr>
          <w:rFonts w:ascii="仿宋" w:hAnsi="仿宋" w:eastAsia="仿宋"/>
          <w:szCs w:val="21"/>
        </w:rPr>
      </w:pPr>
      <w:r>
        <w:rPr>
          <w:rFonts w:hint="eastAsia" w:ascii="仿宋" w:hAnsi="仿宋" w:eastAsia="仿宋"/>
          <w:szCs w:val="21"/>
        </w:rPr>
        <w:t>对所停车辆核实停车证并进行数据登记。</w:t>
      </w:r>
    </w:p>
    <w:p>
      <w:pPr>
        <w:numPr>
          <w:ilvl w:val="0"/>
          <w:numId w:val="25"/>
        </w:numPr>
        <w:spacing w:line="360" w:lineRule="auto"/>
        <w:rPr>
          <w:rFonts w:ascii="仿宋" w:hAnsi="仿宋" w:eastAsia="仿宋"/>
          <w:szCs w:val="21"/>
        </w:rPr>
      </w:pPr>
      <w:r>
        <w:rPr>
          <w:rFonts w:hint="eastAsia" w:ascii="仿宋" w:hAnsi="仿宋" w:eastAsia="仿宋"/>
          <w:szCs w:val="21"/>
        </w:rPr>
        <w:t>遇违例车辆:如无证停车、堵塞车辆出入口等,可通知领班或业主。</w:t>
      </w:r>
    </w:p>
    <w:p>
      <w:pPr>
        <w:numPr>
          <w:ilvl w:val="0"/>
          <w:numId w:val="25"/>
        </w:numPr>
        <w:spacing w:line="360" w:lineRule="auto"/>
        <w:rPr>
          <w:rFonts w:ascii="仿宋" w:hAnsi="仿宋" w:eastAsia="仿宋"/>
          <w:szCs w:val="21"/>
        </w:rPr>
      </w:pPr>
      <w:r>
        <w:rPr>
          <w:rFonts w:hint="eastAsia" w:ascii="仿宋" w:hAnsi="仿宋" w:eastAsia="仿宋"/>
          <w:szCs w:val="21"/>
        </w:rPr>
        <w:t>禁止所有人使用消防水阀洗车。</w:t>
      </w:r>
    </w:p>
    <w:p>
      <w:pPr>
        <w:numPr>
          <w:ilvl w:val="0"/>
          <w:numId w:val="25"/>
        </w:numPr>
        <w:spacing w:line="360" w:lineRule="auto"/>
        <w:rPr>
          <w:rFonts w:ascii="仿宋" w:hAnsi="仿宋" w:eastAsia="仿宋"/>
          <w:szCs w:val="21"/>
        </w:rPr>
      </w:pPr>
      <w:r>
        <w:rPr>
          <w:rFonts w:hint="eastAsia" w:ascii="仿宋" w:hAnsi="仿宋" w:eastAsia="仿宋"/>
          <w:szCs w:val="21"/>
        </w:rPr>
        <w:t>指引所有驶入停车场的车辆, 按车场的规章制度停泊。</w:t>
      </w:r>
    </w:p>
    <w:p>
      <w:pPr>
        <w:numPr>
          <w:ilvl w:val="0"/>
          <w:numId w:val="25"/>
        </w:numPr>
        <w:spacing w:line="360" w:lineRule="auto"/>
        <w:rPr>
          <w:rFonts w:ascii="仿宋" w:hAnsi="仿宋" w:eastAsia="仿宋"/>
          <w:szCs w:val="21"/>
        </w:rPr>
      </w:pPr>
      <w:r>
        <w:rPr>
          <w:rFonts w:hint="eastAsia" w:ascii="仿宋" w:hAnsi="仿宋" w:eastAsia="仿宋"/>
          <w:szCs w:val="21"/>
        </w:rPr>
        <w:t>定时开启排气系统及照明系统。</w:t>
      </w:r>
    </w:p>
    <w:p>
      <w:pPr>
        <w:numPr>
          <w:ilvl w:val="0"/>
          <w:numId w:val="25"/>
        </w:numPr>
        <w:spacing w:line="360" w:lineRule="auto"/>
        <w:rPr>
          <w:rFonts w:ascii="仿宋" w:hAnsi="仿宋" w:eastAsia="仿宋"/>
          <w:szCs w:val="21"/>
        </w:rPr>
      </w:pPr>
      <w:r>
        <w:rPr>
          <w:rFonts w:hint="eastAsia" w:ascii="仿宋" w:hAnsi="仿宋" w:eastAsia="仿宋"/>
          <w:szCs w:val="21"/>
        </w:rPr>
        <w:t>留意车场高度容纳限制,遇有限制高度的车辆时,须提醒司机小心驾驶。</w:t>
      </w:r>
    </w:p>
    <w:p>
      <w:pPr>
        <w:numPr>
          <w:ilvl w:val="0"/>
          <w:numId w:val="25"/>
        </w:numPr>
        <w:spacing w:line="360" w:lineRule="auto"/>
        <w:rPr>
          <w:rFonts w:ascii="仿宋" w:hAnsi="仿宋" w:eastAsia="仿宋"/>
          <w:szCs w:val="21"/>
        </w:rPr>
      </w:pPr>
      <w:r>
        <w:rPr>
          <w:rFonts w:hint="eastAsia" w:ascii="仿宋" w:hAnsi="仿宋" w:eastAsia="仿宋"/>
          <w:szCs w:val="21"/>
        </w:rPr>
        <w:t>留意车位界限及编号是否清楚。</w:t>
      </w:r>
    </w:p>
    <w:p>
      <w:pPr>
        <w:numPr>
          <w:ilvl w:val="0"/>
          <w:numId w:val="25"/>
        </w:numPr>
        <w:spacing w:line="360" w:lineRule="auto"/>
        <w:rPr>
          <w:rFonts w:ascii="仿宋" w:hAnsi="仿宋" w:eastAsia="仿宋"/>
          <w:szCs w:val="21"/>
        </w:rPr>
      </w:pPr>
      <w:r>
        <w:rPr>
          <w:rFonts w:hint="eastAsia" w:ascii="仿宋" w:hAnsi="仿宋" w:eastAsia="仿宋"/>
          <w:szCs w:val="21"/>
        </w:rPr>
        <w:t>禁止停车场内洗车抹车, 防止弄污地面或地面打滑。</w:t>
      </w:r>
    </w:p>
    <w:p>
      <w:pPr>
        <w:numPr>
          <w:ilvl w:val="0"/>
          <w:numId w:val="25"/>
        </w:numPr>
        <w:spacing w:line="360" w:lineRule="auto"/>
        <w:rPr>
          <w:rFonts w:ascii="仿宋" w:hAnsi="仿宋" w:eastAsia="仿宋"/>
          <w:szCs w:val="21"/>
        </w:rPr>
      </w:pPr>
      <w:r>
        <w:rPr>
          <w:rFonts w:hint="eastAsia" w:ascii="仿宋" w:hAnsi="仿宋" w:eastAsia="仿宋"/>
          <w:szCs w:val="21"/>
        </w:rPr>
        <w:t>留意各交通标记是否清晰。</w:t>
      </w:r>
    </w:p>
    <w:p>
      <w:pPr>
        <w:tabs>
          <w:tab w:val="left" w:pos="0"/>
        </w:tabs>
        <w:spacing w:line="360" w:lineRule="auto"/>
        <w:rPr>
          <w:rFonts w:ascii="仿宋" w:hAnsi="仿宋" w:eastAsia="仿宋"/>
          <w:szCs w:val="21"/>
        </w:rPr>
      </w:pPr>
    </w:p>
    <w:p>
      <w:pPr>
        <w:spacing w:afterLines="100"/>
        <w:jc w:val="left"/>
        <w:outlineLvl w:val="0"/>
        <w:rPr>
          <w:rFonts w:ascii="仿宋" w:hAnsi="仿宋" w:eastAsia="仿宋" w:cs="宋体"/>
          <w:b/>
          <w:bCs/>
          <w:szCs w:val="21"/>
        </w:rPr>
      </w:pPr>
      <w:r>
        <w:rPr>
          <w:rFonts w:hint="eastAsia" w:ascii="仿宋" w:hAnsi="仿宋" w:eastAsia="仿宋" w:cs="宋体"/>
          <w:b/>
          <w:bCs/>
          <w:szCs w:val="21"/>
        </w:rPr>
        <w:t>（三）车辆巡逻岗位制度</w:t>
      </w:r>
    </w:p>
    <w:p>
      <w:pPr>
        <w:numPr>
          <w:ilvl w:val="0"/>
          <w:numId w:val="26"/>
        </w:numPr>
        <w:spacing w:line="360" w:lineRule="auto"/>
        <w:rPr>
          <w:rFonts w:ascii="仿宋" w:hAnsi="仿宋" w:eastAsia="仿宋"/>
          <w:szCs w:val="21"/>
        </w:rPr>
      </w:pPr>
      <w:r>
        <w:rPr>
          <w:rFonts w:hint="eastAsia" w:ascii="仿宋" w:hAnsi="仿宋" w:eastAsia="仿宋"/>
          <w:szCs w:val="21"/>
        </w:rPr>
        <w:t>负责整个区域安全巡视工作，特别加强对偏僻区域的巡察，注意盘查可疑及闲散人员。</w:t>
      </w:r>
    </w:p>
    <w:p>
      <w:pPr>
        <w:numPr>
          <w:ilvl w:val="0"/>
          <w:numId w:val="26"/>
        </w:numPr>
        <w:spacing w:line="360" w:lineRule="auto"/>
        <w:rPr>
          <w:rFonts w:ascii="仿宋" w:hAnsi="仿宋" w:eastAsia="仿宋"/>
          <w:szCs w:val="21"/>
        </w:rPr>
      </w:pPr>
      <w:r>
        <w:rPr>
          <w:rFonts w:hint="eastAsia" w:ascii="仿宋" w:hAnsi="仿宋" w:eastAsia="仿宋"/>
          <w:szCs w:val="21"/>
        </w:rPr>
        <w:t>协助对进入车场车辆管理，指引车主停泊适当位置。</w:t>
      </w:r>
    </w:p>
    <w:p>
      <w:pPr>
        <w:numPr>
          <w:ilvl w:val="0"/>
          <w:numId w:val="26"/>
        </w:numPr>
        <w:spacing w:line="360" w:lineRule="auto"/>
        <w:rPr>
          <w:rFonts w:ascii="仿宋" w:hAnsi="仿宋" w:eastAsia="仿宋"/>
          <w:szCs w:val="21"/>
        </w:rPr>
      </w:pPr>
      <w:r>
        <w:rPr>
          <w:rFonts w:hint="eastAsia" w:ascii="仿宋" w:hAnsi="仿宋" w:eastAsia="仿宋"/>
          <w:szCs w:val="21"/>
        </w:rPr>
        <w:t>严格检查登记车场车辆有关情况，发现有车辆未关门窗，应立即联系有关车主，然后守护车辆旁，等候主管来进行处理。</w:t>
      </w:r>
    </w:p>
    <w:p>
      <w:pPr>
        <w:numPr>
          <w:ilvl w:val="0"/>
          <w:numId w:val="26"/>
        </w:numPr>
        <w:spacing w:line="360" w:lineRule="auto"/>
        <w:rPr>
          <w:rFonts w:ascii="仿宋" w:hAnsi="仿宋" w:eastAsia="仿宋"/>
          <w:szCs w:val="21"/>
        </w:rPr>
      </w:pPr>
      <w:r>
        <w:rPr>
          <w:rFonts w:hint="eastAsia" w:ascii="仿宋" w:hAnsi="仿宋" w:eastAsia="仿宋"/>
          <w:szCs w:val="21"/>
        </w:rPr>
        <w:t>按消防规范巡视并检查消防设施，做好巡视记录，确保消防设施处于正常工作状态。</w:t>
      </w:r>
    </w:p>
    <w:p>
      <w:pPr>
        <w:numPr>
          <w:ilvl w:val="0"/>
          <w:numId w:val="26"/>
        </w:numPr>
        <w:spacing w:line="360" w:lineRule="auto"/>
        <w:rPr>
          <w:rFonts w:ascii="仿宋" w:hAnsi="仿宋" w:eastAsia="仿宋"/>
          <w:szCs w:val="21"/>
        </w:rPr>
      </w:pPr>
      <w:r>
        <w:rPr>
          <w:rFonts w:hint="eastAsia" w:ascii="仿宋" w:hAnsi="仿宋" w:eastAsia="仿宋"/>
          <w:szCs w:val="21"/>
        </w:rPr>
        <w:t>监管地库内所有工程装修防火情况，督促施工人员做好各项防范措施。</w:t>
      </w:r>
    </w:p>
    <w:p>
      <w:pPr>
        <w:numPr>
          <w:ilvl w:val="0"/>
          <w:numId w:val="26"/>
        </w:numPr>
        <w:spacing w:line="360" w:lineRule="auto"/>
        <w:rPr>
          <w:rFonts w:ascii="仿宋" w:hAnsi="仿宋" w:eastAsia="仿宋"/>
          <w:szCs w:val="21"/>
        </w:rPr>
      </w:pPr>
      <w:r>
        <w:rPr>
          <w:rFonts w:hint="eastAsia" w:ascii="仿宋" w:hAnsi="仿宋" w:eastAsia="仿宋"/>
          <w:szCs w:val="21"/>
        </w:rPr>
        <w:t>协助车场管理人员对各种停放车辆的管理。</w:t>
      </w:r>
    </w:p>
    <w:p>
      <w:pPr>
        <w:tabs>
          <w:tab w:val="left" w:pos="0"/>
        </w:tabs>
        <w:spacing w:line="360" w:lineRule="auto"/>
        <w:rPr>
          <w:rFonts w:ascii="仿宋" w:hAnsi="仿宋" w:eastAsia="仿宋"/>
          <w:szCs w:val="21"/>
        </w:rPr>
      </w:pPr>
    </w:p>
    <w:p>
      <w:pPr>
        <w:numPr>
          <w:ilvl w:val="0"/>
          <w:numId w:val="10"/>
        </w:numPr>
        <w:spacing w:afterLines="100"/>
        <w:jc w:val="left"/>
        <w:outlineLvl w:val="0"/>
        <w:rPr>
          <w:rFonts w:ascii="仿宋" w:hAnsi="仿宋" w:eastAsia="仿宋" w:cs="宋体"/>
          <w:b/>
          <w:bCs/>
          <w:szCs w:val="21"/>
        </w:rPr>
      </w:pPr>
      <w:r>
        <w:rPr>
          <w:rFonts w:hint="eastAsia" w:ascii="仿宋" w:hAnsi="仿宋" w:eastAsia="仿宋" w:cs="宋体"/>
          <w:b/>
          <w:bCs/>
          <w:szCs w:val="21"/>
        </w:rPr>
        <w:t>车辆出入道口岗位制度</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当发现有车辆需进入停车场，驶近道口挡车器时，应立即走近车辆，向司机立正行举手礼。</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当司机开启车窗时,递上存车卡同时说“先生（小姐）请收好存车卡(出示登记卡)。</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在发卡的同时，另一名值班员应迅速在《车辆出入登记表》上填写个各栏目。</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在卡登记完毕后,应立即将道闸开启放行,并提示行驶路线, 若后面有紧跟着车辆排队时,应示意其停下，并致歉“对不起，久等了”，然后发卡。</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车辆安全进入道口后，方可放下道闸，避免道闸损坏车辆，车辆进入后切记放下道闸,以防车辆冲卡。</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当遇到公安、警察、政府部门执行任务的车辆要进入时，查证后方可放行，应作好《交接班纪录》登记车牌号。</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当发现有车辆驶出时，即上前立正并说“先生（小姐）您好，请您交还存车卡”等礼貌用语，并核对车牌好号。</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查对无误后，值班员开启道闸，并迅速在《车辆出入登记表》上做好登记。</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若出场车辆和司机有疑问时，应向司机核对有关情况。若发现有问题，应立即截留车辆，机智地应付司机，并用对讲机报告主管、监控中心和管理处。</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放下道闸时应格外小心，防止道闸碰损车辆和行人。</w:t>
      </w:r>
    </w:p>
    <w:p>
      <w:pPr>
        <w:numPr>
          <w:ilvl w:val="0"/>
          <w:numId w:val="27"/>
        </w:numPr>
        <w:spacing w:afterLines="100"/>
        <w:jc w:val="left"/>
        <w:outlineLvl w:val="0"/>
        <w:rPr>
          <w:rFonts w:ascii="仿宋" w:hAnsi="仿宋" w:eastAsia="仿宋" w:cs="宋体"/>
          <w:szCs w:val="21"/>
        </w:rPr>
      </w:pPr>
      <w:r>
        <w:rPr>
          <w:rFonts w:hint="eastAsia" w:ascii="仿宋" w:hAnsi="仿宋" w:eastAsia="仿宋" w:cs="宋体"/>
          <w:szCs w:val="21"/>
        </w:rPr>
        <w:t>遵守管理服务文明礼貌用语。</w:t>
      </w:r>
    </w:p>
    <w:p>
      <w:pPr>
        <w:numPr>
          <w:ilvl w:val="0"/>
          <w:numId w:val="10"/>
        </w:numPr>
        <w:spacing w:afterLines="100"/>
        <w:jc w:val="left"/>
        <w:outlineLvl w:val="0"/>
        <w:rPr>
          <w:rFonts w:ascii="仿宋" w:hAnsi="仿宋" w:eastAsia="仿宋" w:cs="宋体"/>
          <w:b/>
          <w:bCs/>
          <w:szCs w:val="21"/>
        </w:rPr>
      </w:pPr>
      <w:r>
        <w:rPr>
          <w:rFonts w:hint="eastAsia" w:ascii="仿宋" w:hAnsi="仿宋" w:eastAsia="仿宋" w:cs="宋体"/>
          <w:b/>
          <w:bCs/>
          <w:szCs w:val="21"/>
        </w:rPr>
        <w:t>停车场交接班制度</w:t>
      </w:r>
    </w:p>
    <w:p>
      <w:pPr>
        <w:numPr>
          <w:ilvl w:val="0"/>
          <w:numId w:val="28"/>
        </w:numPr>
        <w:spacing w:afterLines="100"/>
        <w:jc w:val="left"/>
        <w:outlineLvl w:val="0"/>
        <w:rPr>
          <w:rFonts w:ascii="仿宋" w:hAnsi="仿宋" w:eastAsia="仿宋" w:cs="宋体"/>
          <w:szCs w:val="21"/>
        </w:rPr>
      </w:pPr>
      <w:r>
        <w:rPr>
          <w:rFonts w:hint="eastAsia" w:ascii="仿宋" w:hAnsi="仿宋" w:eastAsia="仿宋" w:cs="宋体"/>
          <w:szCs w:val="21"/>
        </w:rPr>
        <w:t>接班人员必须提前15分钟做好接班的准备工作，穿好工作服，佩戴好名牌，正点交接班。</w:t>
      </w:r>
    </w:p>
    <w:p>
      <w:pPr>
        <w:numPr>
          <w:ilvl w:val="0"/>
          <w:numId w:val="28"/>
        </w:numPr>
        <w:spacing w:afterLines="100"/>
        <w:jc w:val="left"/>
        <w:outlineLvl w:val="0"/>
        <w:rPr>
          <w:rFonts w:ascii="仿宋" w:hAnsi="仿宋" w:eastAsia="仿宋" w:cs="宋体"/>
          <w:szCs w:val="21"/>
        </w:rPr>
      </w:pPr>
      <w:r>
        <w:rPr>
          <w:rFonts w:hint="eastAsia" w:ascii="仿宋" w:hAnsi="仿宋" w:eastAsia="仿宋" w:cs="宋体"/>
          <w:szCs w:val="21"/>
        </w:rPr>
        <w:t>接班人员要详细阅读交接班日记和有关通知单，详细了解上一班设备运行情况，对不清楚的问题一定要向交班者问清楚，交班者要主动向接班者交底，交班记录要详细完整。</w:t>
      </w:r>
    </w:p>
    <w:p>
      <w:pPr>
        <w:numPr>
          <w:ilvl w:val="0"/>
          <w:numId w:val="28"/>
        </w:numPr>
        <w:spacing w:afterLines="100"/>
        <w:jc w:val="left"/>
        <w:outlineLvl w:val="0"/>
        <w:rPr>
          <w:rFonts w:ascii="仿宋" w:hAnsi="仿宋" w:eastAsia="仿宋" w:cs="宋体"/>
          <w:szCs w:val="21"/>
        </w:rPr>
      </w:pPr>
      <w:r>
        <w:rPr>
          <w:rFonts w:hint="eastAsia" w:ascii="仿宋" w:hAnsi="仿宋" w:eastAsia="仿宋" w:cs="宋体"/>
          <w:szCs w:val="21"/>
        </w:rPr>
        <w:t>交班人员要对接班人员负责，要交安全、交记录、交工具、交场所卫生、交设备运行动态，双方要办签字手续。</w:t>
      </w:r>
    </w:p>
    <w:p>
      <w:pPr>
        <w:numPr>
          <w:ilvl w:val="0"/>
          <w:numId w:val="28"/>
        </w:numPr>
        <w:spacing w:afterLines="100"/>
        <w:jc w:val="left"/>
        <w:outlineLvl w:val="0"/>
        <w:rPr>
          <w:rFonts w:ascii="仿宋" w:hAnsi="仿宋" w:eastAsia="仿宋" w:cs="宋体"/>
          <w:szCs w:val="21"/>
        </w:rPr>
      </w:pPr>
      <w:r>
        <w:rPr>
          <w:rFonts w:hint="eastAsia" w:ascii="仿宋" w:hAnsi="仿宋" w:eastAsia="仿宋" w:cs="宋体"/>
          <w:szCs w:val="21"/>
        </w:rPr>
        <w:t>如在交班时设备发生故障，或正在处理故障，应由交班人员为主排除，接班人员积极配合，待处理完毕方可离岗。</w:t>
      </w:r>
    </w:p>
    <w:p>
      <w:pPr>
        <w:numPr>
          <w:ilvl w:val="0"/>
          <w:numId w:val="28"/>
        </w:numPr>
        <w:spacing w:afterLines="100"/>
        <w:jc w:val="left"/>
        <w:outlineLvl w:val="0"/>
        <w:rPr>
          <w:rFonts w:ascii="仿宋" w:hAnsi="仿宋" w:eastAsia="仿宋" w:cs="宋体"/>
          <w:szCs w:val="21"/>
        </w:rPr>
      </w:pPr>
      <w:r>
        <w:rPr>
          <w:rFonts w:hint="eastAsia" w:ascii="仿宋" w:hAnsi="仿宋" w:eastAsia="仿宋" w:cs="宋体"/>
          <w:szCs w:val="21"/>
        </w:rPr>
        <w:t>在规定的交班时间内，如接班者因故未到，交班者不得离岗，立即报告主管，主管追查原因，视具体情节作出处理。</w:t>
      </w:r>
    </w:p>
    <w:p>
      <w:pPr>
        <w:numPr>
          <w:ilvl w:val="0"/>
          <w:numId w:val="28"/>
        </w:numPr>
        <w:spacing w:afterLines="100"/>
        <w:jc w:val="left"/>
        <w:outlineLvl w:val="0"/>
        <w:rPr>
          <w:rFonts w:ascii="仿宋" w:hAnsi="仿宋" w:eastAsia="仿宋" w:cs="宋体"/>
          <w:szCs w:val="21"/>
        </w:rPr>
      </w:pPr>
      <w:r>
        <w:rPr>
          <w:rFonts w:hint="eastAsia" w:ascii="仿宋" w:hAnsi="仿宋" w:eastAsia="仿宋" w:cs="宋体"/>
          <w:szCs w:val="21"/>
        </w:rPr>
        <w:t>接班人员酒后或带病坚持上班者，交班人不得交给他们，并及时报告主管，统筹安排。</w:t>
      </w:r>
    </w:p>
    <w:p>
      <w:pPr>
        <w:numPr>
          <w:ilvl w:val="0"/>
          <w:numId w:val="6"/>
        </w:numPr>
        <w:spacing w:afterLines="100"/>
        <w:jc w:val="left"/>
        <w:outlineLvl w:val="0"/>
        <w:rPr>
          <w:rFonts w:ascii="仿宋" w:hAnsi="仿宋" w:eastAsia="仿宋" w:cs="宋体"/>
          <w:b/>
          <w:szCs w:val="21"/>
        </w:rPr>
      </w:pPr>
      <w:r>
        <w:rPr>
          <w:rFonts w:hint="eastAsia" w:ascii="仿宋" w:hAnsi="仿宋" w:eastAsia="仿宋" w:cs="宋体"/>
          <w:b/>
          <w:szCs w:val="21"/>
        </w:rPr>
        <w:t>停车场应急预案</w:t>
      </w:r>
    </w:p>
    <w:p>
      <w:pPr>
        <w:numPr>
          <w:ilvl w:val="0"/>
          <w:numId w:val="29"/>
        </w:numPr>
        <w:spacing w:afterLines="100"/>
        <w:jc w:val="left"/>
        <w:outlineLvl w:val="0"/>
        <w:rPr>
          <w:rFonts w:ascii="仿宋" w:hAnsi="仿宋" w:eastAsia="仿宋" w:cs="宋体"/>
          <w:b/>
          <w:bCs/>
          <w:szCs w:val="21"/>
        </w:rPr>
      </w:pPr>
      <w:r>
        <w:rPr>
          <w:rFonts w:hint="eastAsia" w:ascii="仿宋" w:hAnsi="仿宋" w:eastAsia="仿宋" w:cs="宋体"/>
          <w:b/>
          <w:bCs/>
          <w:szCs w:val="21"/>
        </w:rPr>
        <w:t>发生偷盗汽车应急处理程序</w:t>
      </w:r>
    </w:p>
    <w:p>
      <w:pPr>
        <w:tabs>
          <w:tab w:val="left" w:pos="0"/>
        </w:tabs>
        <w:spacing w:afterLines="100"/>
        <w:jc w:val="left"/>
        <w:outlineLvl w:val="0"/>
        <w:rPr>
          <w:rFonts w:ascii="仿宋" w:hAnsi="仿宋" w:eastAsia="仿宋" w:cs="宋体"/>
          <w:szCs w:val="21"/>
        </w:rPr>
      </w:pPr>
    </w:p>
    <w:tbl>
      <w:tblPr>
        <w:tblStyle w:val="13"/>
        <w:tblpPr w:leftFromText="180" w:rightFromText="180" w:vertAnchor="text" w:horzAnchor="page" w:tblpX="3026" w:tblpY="255"/>
        <w:tblOverlap w:val="never"/>
        <w:tblW w:w="0" w:type="auto"/>
        <w:tblInd w:w="0" w:type="dxa"/>
        <w:tblLayout w:type="fixed"/>
        <w:tblCellMar>
          <w:top w:w="0" w:type="dxa"/>
          <w:left w:w="108" w:type="dxa"/>
          <w:bottom w:w="0" w:type="dxa"/>
          <w:right w:w="108" w:type="dxa"/>
        </w:tblCellMar>
      </w:tblPr>
      <w:tblGrid>
        <w:gridCol w:w="2160"/>
        <w:gridCol w:w="552"/>
        <w:gridCol w:w="528"/>
        <w:gridCol w:w="2340"/>
      </w:tblGrid>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noWrap/>
          </w:tcPr>
          <w:p>
            <w:pPr>
              <w:spacing w:line="400" w:lineRule="exact"/>
              <w:rPr>
                <w:rFonts w:ascii="仿宋" w:hAnsi="仿宋" w:eastAsia="仿宋" w:cs="宋体"/>
                <w:szCs w:val="21"/>
              </w:rPr>
            </w:pPr>
          </w:p>
        </w:tc>
        <w:tc>
          <w:tcPr>
            <w:tcW w:w="528" w:type="dxa"/>
            <w:noWrap/>
          </w:tcPr>
          <w:p>
            <w:pPr>
              <w:spacing w:line="400" w:lineRule="exact"/>
              <w:rPr>
                <w:rFonts w:ascii="仿宋" w:hAnsi="仿宋" w:eastAsia="仿宋" w:cs="宋体"/>
                <w:szCs w:val="21"/>
              </w:rPr>
            </w:pPr>
            <w:r>
              <w:rPr>
                <w:rFonts w:hint="eastAsia" w:ascii="仿宋" w:hAnsi="仿宋" w:eastAsia="仿宋" w:cs="宋体"/>
                <w:szCs w:val="21"/>
              </w:rPr>
              <w:t>1</w:t>
            </w:r>
          </w:p>
        </w:tc>
        <w:tc>
          <w:tcPr>
            <w:tcW w:w="2340" w:type="dxa"/>
            <w:vMerge w:val="restart"/>
            <w:tcBorders>
              <w:top w:val="single" w:color="auto" w:sz="4" w:space="0"/>
              <w:left w:val="single" w:color="auto" w:sz="4" w:space="0"/>
              <w:bottom w:val="single" w:color="auto" w:sz="4" w:space="0"/>
              <w:right w:val="single" w:color="auto" w:sz="4" w:space="0"/>
            </w:tcBorders>
            <w:noWrap/>
          </w:tcPr>
          <w:p>
            <w:pPr>
              <w:spacing w:before="120" w:line="400" w:lineRule="exact"/>
              <w:jc w:val="center"/>
              <w:rPr>
                <w:rFonts w:ascii="仿宋" w:hAnsi="仿宋" w:eastAsia="仿宋" w:cs="宋体"/>
                <w:szCs w:val="21"/>
              </w:rPr>
            </w:pPr>
            <w:r>
              <w:rPr>
                <w:rFonts w:hint="eastAsia" w:ascii="仿宋" w:hAnsi="仿宋" w:eastAsia="仿宋" w:cs="宋体"/>
                <w:szCs w:val="21"/>
              </w:rPr>
              <w:t>监控中心</w:t>
            </w: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top w:val="single" w:color="auto" w:sz="4" w:space="0"/>
              <w:left w:val="nil"/>
            </w:tcBorders>
            <w:noWrap/>
          </w:tcPr>
          <w:p>
            <w:pPr>
              <w:spacing w:line="400" w:lineRule="exact"/>
              <w:rPr>
                <w:rFonts w:ascii="仿宋" w:hAnsi="仿宋" w:eastAsia="仿宋" w:cs="宋体"/>
                <w:szCs w:val="21"/>
              </w:rPr>
            </w:pPr>
          </w:p>
        </w:tc>
        <w:tc>
          <w:tcPr>
            <w:tcW w:w="2340" w:type="dxa"/>
            <w:vMerge w:val="continue"/>
            <w:tcBorders>
              <w:left w:val="single" w:color="auto" w:sz="4" w:space="0"/>
              <w:bottom w:val="single" w:color="auto" w:sz="4" w:space="0"/>
              <w:right w:val="single" w:color="auto" w:sz="4" w:space="0"/>
            </w:tcBorders>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p>
        </w:tc>
        <w:tc>
          <w:tcPr>
            <w:tcW w:w="2340" w:type="dxa"/>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r>
              <w:rPr>
                <w:rFonts w:hint="eastAsia" w:ascii="仿宋" w:hAnsi="仿宋" w:eastAsia="仿宋" w:cs="宋体"/>
                <w:szCs w:val="21"/>
              </w:rPr>
              <w:t>2</w:t>
            </w:r>
          </w:p>
        </w:tc>
        <w:tc>
          <w:tcPr>
            <w:tcW w:w="2340" w:type="dxa"/>
            <w:vMerge w:val="restart"/>
            <w:tcBorders>
              <w:top w:val="single" w:color="auto" w:sz="4" w:space="0"/>
              <w:left w:val="single" w:color="auto" w:sz="4" w:space="0"/>
              <w:bottom w:val="single" w:color="auto" w:sz="4" w:space="0"/>
              <w:right w:val="single" w:color="auto" w:sz="4" w:space="0"/>
            </w:tcBorders>
            <w:noWrap/>
          </w:tcPr>
          <w:p>
            <w:pPr>
              <w:spacing w:line="400" w:lineRule="exact"/>
              <w:jc w:val="center"/>
              <w:rPr>
                <w:rFonts w:ascii="仿宋" w:hAnsi="仿宋" w:eastAsia="仿宋" w:cs="宋体"/>
                <w:szCs w:val="21"/>
              </w:rPr>
            </w:pPr>
            <w:r>
              <w:rPr>
                <w:rFonts w:hint="eastAsia" w:ascii="仿宋" w:hAnsi="仿宋" w:eastAsia="仿宋" w:cs="宋体"/>
                <w:szCs w:val="21"/>
              </w:rPr>
              <w:t>关闭车库进出口闸闸门</w:t>
            </w:r>
          </w:p>
        </w:tc>
      </w:tr>
      <w:tr>
        <w:tblPrEx>
          <w:tblCellMar>
            <w:top w:w="0" w:type="dxa"/>
            <w:left w:w="108" w:type="dxa"/>
            <w:bottom w:w="0" w:type="dxa"/>
            <w:right w:w="108" w:type="dxa"/>
          </w:tblCellMar>
        </w:tblPrEx>
        <w:trPr>
          <w:cantSplit/>
        </w:trPr>
        <w:tc>
          <w:tcPr>
            <w:tcW w:w="2160" w:type="dxa"/>
            <w:vMerge w:val="restart"/>
            <w:tcBorders>
              <w:top w:val="single" w:color="auto" w:sz="4" w:space="0"/>
              <w:left w:val="single" w:color="auto" w:sz="4" w:space="0"/>
              <w:bottom w:val="single" w:color="auto" w:sz="4" w:space="0"/>
              <w:right w:val="single" w:color="auto" w:sz="4" w:space="0"/>
            </w:tcBorders>
            <w:noWrap/>
          </w:tcPr>
          <w:p>
            <w:pPr>
              <w:spacing w:before="120" w:line="400" w:lineRule="exact"/>
              <w:jc w:val="center"/>
              <w:rPr>
                <w:rFonts w:ascii="仿宋" w:hAnsi="仿宋" w:eastAsia="仿宋" w:cs="宋体"/>
                <w:szCs w:val="21"/>
              </w:rPr>
            </w:pPr>
            <w:r>
              <w:rPr>
                <w:rFonts w:hint="eastAsia" w:ascii="仿宋" w:hAnsi="仿宋" w:eastAsia="仿宋" w:cs="宋体"/>
                <w:szCs w:val="21"/>
              </w:rPr>
              <w:t>管理处或当值</w:t>
            </w:r>
          </w:p>
        </w:tc>
        <w:tc>
          <w:tcPr>
            <w:tcW w:w="552" w:type="dxa"/>
            <w:tcBorders>
              <w:left w:val="nil"/>
              <w:right w:val="single" w:color="auto" w:sz="4" w:space="0"/>
            </w:tcBorders>
            <w:noWrap/>
          </w:tcPr>
          <w:p>
            <w:pPr>
              <w:spacing w:line="400" w:lineRule="exact"/>
              <w:rPr>
                <w:rFonts w:ascii="仿宋" w:hAnsi="仿宋" w:eastAsia="仿宋" w:cs="宋体"/>
                <w:szCs w:val="21"/>
              </w:rPr>
            </w:pPr>
          </w:p>
        </w:tc>
        <w:tc>
          <w:tcPr>
            <w:tcW w:w="528" w:type="dxa"/>
            <w:tcBorders>
              <w:top w:val="single" w:color="auto" w:sz="4" w:space="0"/>
              <w:left w:val="nil"/>
            </w:tcBorders>
            <w:noWrap/>
          </w:tcPr>
          <w:p>
            <w:pPr>
              <w:spacing w:line="400" w:lineRule="exact"/>
              <w:rPr>
                <w:rFonts w:ascii="仿宋" w:hAnsi="仿宋" w:eastAsia="仿宋" w:cs="宋体"/>
                <w:szCs w:val="21"/>
              </w:rPr>
            </w:pPr>
          </w:p>
        </w:tc>
        <w:tc>
          <w:tcPr>
            <w:tcW w:w="2340" w:type="dxa"/>
            <w:vMerge w:val="continue"/>
            <w:tcBorders>
              <w:left w:val="single" w:color="auto" w:sz="4" w:space="0"/>
              <w:bottom w:val="single" w:color="auto" w:sz="4" w:space="0"/>
              <w:right w:val="single" w:color="auto" w:sz="4" w:space="0"/>
            </w:tcBorders>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rPr>
          <w:cantSplit/>
        </w:trPr>
        <w:tc>
          <w:tcPr>
            <w:tcW w:w="2160" w:type="dxa"/>
            <w:vMerge w:val="continue"/>
            <w:tcBorders>
              <w:left w:val="single" w:color="auto" w:sz="4" w:space="0"/>
              <w:bottom w:val="single" w:color="auto" w:sz="4" w:space="0"/>
              <w:right w:val="single" w:color="auto" w:sz="4" w:space="0"/>
            </w:tcBorders>
            <w:noWrap/>
          </w:tcPr>
          <w:p>
            <w:pPr>
              <w:spacing w:line="400" w:lineRule="exact"/>
              <w:rPr>
                <w:rFonts w:ascii="仿宋" w:hAnsi="仿宋" w:eastAsia="仿宋" w:cs="宋体"/>
                <w:szCs w:val="21"/>
              </w:rPr>
            </w:pPr>
          </w:p>
        </w:tc>
        <w:tc>
          <w:tcPr>
            <w:tcW w:w="552" w:type="dxa"/>
            <w:tcBorders>
              <w:top w:val="single" w:color="auto" w:sz="4" w:space="0"/>
              <w:left w:val="nil"/>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p>
        </w:tc>
        <w:tc>
          <w:tcPr>
            <w:tcW w:w="2340" w:type="dxa"/>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r>
              <w:rPr>
                <w:rFonts w:hint="eastAsia" w:ascii="仿宋" w:hAnsi="仿宋" w:eastAsia="仿宋" w:cs="宋体"/>
                <w:szCs w:val="21"/>
              </w:rPr>
              <w:t>3</w:t>
            </w:r>
          </w:p>
        </w:tc>
        <w:tc>
          <w:tcPr>
            <w:tcW w:w="2340" w:type="dxa"/>
            <w:vMerge w:val="restart"/>
            <w:tcBorders>
              <w:top w:val="single" w:color="auto" w:sz="4" w:space="0"/>
              <w:left w:val="single" w:color="auto" w:sz="4" w:space="0"/>
              <w:bottom w:val="single" w:color="auto" w:sz="4" w:space="0"/>
              <w:right w:val="single" w:color="auto" w:sz="4" w:space="0"/>
            </w:tcBorders>
            <w:noWrap/>
          </w:tcPr>
          <w:p>
            <w:pPr>
              <w:spacing w:before="120" w:line="400" w:lineRule="exact"/>
              <w:jc w:val="center"/>
              <w:rPr>
                <w:rFonts w:ascii="仿宋" w:hAnsi="仿宋" w:eastAsia="仿宋" w:cs="宋体"/>
                <w:szCs w:val="21"/>
              </w:rPr>
            </w:pPr>
            <w:r>
              <w:rPr>
                <w:rFonts w:hint="eastAsia" w:ascii="仿宋" w:hAnsi="仿宋" w:eastAsia="仿宋" w:cs="宋体"/>
                <w:szCs w:val="21"/>
              </w:rPr>
              <w:t>警方</w:t>
            </w: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top w:val="single" w:color="auto" w:sz="4" w:space="0"/>
              <w:left w:val="nil"/>
            </w:tcBorders>
            <w:noWrap/>
          </w:tcPr>
          <w:p>
            <w:pPr>
              <w:spacing w:line="400" w:lineRule="exact"/>
              <w:rPr>
                <w:rFonts w:ascii="仿宋" w:hAnsi="仿宋" w:eastAsia="仿宋" w:cs="宋体"/>
                <w:szCs w:val="21"/>
              </w:rPr>
            </w:pPr>
          </w:p>
        </w:tc>
        <w:tc>
          <w:tcPr>
            <w:tcW w:w="2340" w:type="dxa"/>
            <w:vMerge w:val="continue"/>
            <w:tcBorders>
              <w:left w:val="single" w:color="auto" w:sz="4" w:space="0"/>
              <w:bottom w:val="single" w:color="auto" w:sz="4" w:space="0"/>
              <w:right w:val="single" w:color="auto" w:sz="4" w:space="0"/>
            </w:tcBorders>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p>
        </w:tc>
        <w:tc>
          <w:tcPr>
            <w:tcW w:w="2340" w:type="dxa"/>
            <w:noWrap/>
          </w:tcPr>
          <w:p>
            <w:pPr>
              <w:spacing w:line="400" w:lineRule="exact"/>
              <w:jc w:val="center"/>
              <w:rPr>
                <w:rFonts w:ascii="仿宋" w:hAnsi="仿宋" w:eastAsia="仿宋" w:cs="宋体"/>
                <w:szCs w:val="21"/>
              </w:rPr>
            </w:pP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tcBorders>
              <w:right w:val="single" w:color="auto" w:sz="4" w:space="0"/>
            </w:tcBorders>
            <w:noWrap/>
          </w:tcPr>
          <w:p>
            <w:pPr>
              <w:spacing w:line="400" w:lineRule="exact"/>
              <w:rPr>
                <w:rFonts w:ascii="仿宋" w:hAnsi="仿宋" w:eastAsia="仿宋" w:cs="宋体"/>
                <w:szCs w:val="21"/>
              </w:rPr>
            </w:pPr>
          </w:p>
        </w:tc>
        <w:tc>
          <w:tcPr>
            <w:tcW w:w="528" w:type="dxa"/>
            <w:tcBorders>
              <w:left w:val="nil"/>
            </w:tcBorders>
            <w:noWrap/>
          </w:tcPr>
          <w:p>
            <w:pPr>
              <w:spacing w:line="400" w:lineRule="exact"/>
              <w:rPr>
                <w:rFonts w:ascii="仿宋" w:hAnsi="仿宋" w:eastAsia="仿宋" w:cs="宋体"/>
                <w:szCs w:val="21"/>
              </w:rPr>
            </w:pPr>
            <w:r>
              <w:rPr>
                <w:rFonts w:hint="eastAsia" w:ascii="仿宋" w:hAnsi="仿宋" w:eastAsia="仿宋" w:cs="宋体"/>
                <w:szCs w:val="21"/>
              </w:rPr>
              <w:t>4</w:t>
            </w:r>
          </w:p>
        </w:tc>
        <w:tc>
          <w:tcPr>
            <w:tcW w:w="2340" w:type="dxa"/>
            <w:vMerge w:val="restart"/>
            <w:tcBorders>
              <w:top w:val="single" w:color="auto" w:sz="4" w:space="0"/>
              <w:left w:val="single" w:color="auto" w:sz="4" w:space="0"/>
              <w:bottom w:val="single" w:color="auto" w:sz="4" w:space="0"/>
              <w:right w:val="single" w:color="auto" w:sz="4" w:space="0"/>
            </w:tcBorders>
            <w:noWrap/>
          </w:tcPr>
          <w:p>
            <w:pPr>
              <w:spacing w:before="120" w:line="400" w:lineRule="exact"/>
              <w:jc w:val="center"/>
              <w:rPr>
                <w:rFonts w:ascii="仿宋" w:hAnsi="仿宋" w:eastAsia="仿宋" w:cs="宋体"/>
                <w:szCs w:val="21"/>
              </w:rPr>
            </w:pPr>
            <w:r>
              <w:rPr>
                <w:rFonts w:hint="eastAsia" w:ascii="仿宋" w:hAnsi="仿宋" w:eastAsia="仿宋" w:cs="宋体"/>
                <w:szCs w:val="21"/>
              </w:rPr>
              <w:t>记录事件</w:t>
            </w:r>
          </w:p>
        </w:tc>
      </w:tr>
      <w:tr>
        <w:tblPrEx>
          <w:tblCellMar>
            <w:top w:w="0" w:type="dxa"/>
            <w:left w:w="108" w:type="dxa"/>
            <w:bottom w:w="0" w:type="dxa"/>
            <w:right w:w="108" w:type="dxa"/>
          </w:tblCellMar>
        </w:tblPrEx>
        <w:trPr>
          <w:cantSplit/>
        </w:trPr>
        <w:tc>
          <w:tcPr>
            <w:tcW w:w="2160" w:type="dxa"/>
            <w:noWrap/>
          </w:tcPr>
          <w:p>
            <w:pPr>
              <w:spacing w:line="400" w:lineRule="exact"/>
              <w:rPr>
                <w:rFonts w:ascii="仿宋" w:hAnsi="仿宋" w:eastAsia="仿宋" w:cs="宋体"/>
                <w:szCs w:val="21"/>
              </w:rPr>
            </w:pPr>
          </w:p>
        </w:tc>
        <w:tc>
          <w:tcPr>
            <w:tcW w:w="552" w:type="dxa"/>
            <w:noWrap/>
          </w:tcPr>
          <w:p>
            <w:pPr>
              <w:spacing w:line="400" w:lineRule="exact"/>
              <w:rPr>
                <w:rFonts w:ascii="仿宋" w:hAnsi="仿宋" w:eastAsia="仿宋" w:cs="宋体"/>
                <w:szCs w:val="21"/>
              </w:rPr>
            </w:pPr>
          </w:p>
        </w:tc>
        <w:tc>
          <w:tcPr>
            <w:tcW w:w="528" w:type="dxa"/>
            <w:tcBorders>
              <w:top w:val="single" w:color="auto" w:sz="4" w:space="0"/>
            </w:tcBorders>
            <w:noWrap/>
          </w:tcPr>
          <w:p>
            <w:pPr>
              <w:spacing w:line="400" w:lineRule="exact"/>
              <w:rPr>
                <w:rFonts w:ascii="仿宋" w:hAnsi="仿宋" w:eastAsia="仿宋" w:cs="宋体"/>
                <w:szCs w:val="21"/>
              </w:rPr>
            </w:pPr>
          </w:p>
        </w:tc>
        <w:tc>
          <w:tcPr>
            <w:tcW w:w="2340" w:type="dxa"/>
            <w:vMerge w:val="continue"/>
            <w:tcBorders>
              <w:left w:val="single" w:color="auto" w:sz="4" w:space="0"/>
              <w:bottom w:val="single" w:color="auto" w:sz="4" w:space="0"/>
              <w:right w:val="single" w:color="auto" w:sz="4" w:space="0"/>
            </w:tcBorders>
            <w:noWrap/>
          </w:tcPr>
          <w:p>
            <w:pPr>
              <w:spacing w:line="400" w:lineRule="exact"/>
              <w:rPr>
                <w:rFonts w:ascii="仿宋" w:hAnsi="仿宋" w:eastAsia="仿宋" w:cs="宋体"/>
                <w:szCs w:val="21"/>
              </w:rPr>
            </w:pPr>
          </w:p>
        </w:tc>
      </w:tr>
    </w:tbl>
    <w:p>
      <w:pPr>
        <w:spacing w:afterLines="100"/>
        <w:jc w:val="left"/>
        <w:outlineLvl w:val="0"/>
        <w:rPr>
          <w:rFonts w:ascii="仿宋" w:hAnsi="仿宋" w:eastAsia="仿宋" w:cs="宋体"/>
          <w:b/>
          <w:bCs/>
          <w:szCs w:val="21"/>
        </w:rPr>
      </w:pPr>
    </w:p>
    <w:p>
      <w:pPr>
        <w:spacing w:afterLines="100"/>
        <w:jc w:val="left"/>
        <w:outlineLvl w:val="0"/>
        <w:rPr>
          <w:rFonts w:ascii="仿宋" w:hAnsi="仿宋" w:eastAsia="仿宋" w:cs="宋体"/>
          <w:b/>
          <w:bCs/>
          <w:szCs w:val="21"/>
        </w:rPr>
      </w:pPr>
    </w:p>
    <w:p>
      <w:pPr>
        <w:spacing w:afterLines="100"/>
        <w:jc w:val="left"/>
        <w:outlineLvl w:val="0"/>
        <w:rPr>
          <w:rFonts w:ascii="仿宋" w:hAnsi="仿宋" w:eastAsia="仿宋" w:cs="宋体"/>
          <w:b/>
          <w:bCs/>
          <w:szCs w:val="21"/>
        </w:rPr>
      </w:pPr>
    </w:p>
    <w:p>
      <w:pPr>
        <w:spacing w:afterLines="100"/>
        <w:jc w:val="left"/>
        <w:outlineLvl w:val="0"/>
        <w:rPr>
          <w:rFonts w:ascii="仿宋" w:hAnsi="仿宋" w:eastAsia="仿宋" w:cs="宋体"/>
          <w:b/>
          <w:bCs/>
          <w:szCs w:val="21"/>
        </w:rPr>
      </w:pPr>
    </w:p>
    <w:p>
      <w:pPr>
        <w:spacing w:afterLines="100"/>
        <w:jc w:val="left"/>
        <w:outlineLvl w:val="0"/>
        <w:rPr>
          <w:rFonts w:ascii="仿宋" w:hAnsi="仿宋" w:eastAsia="仿宋" w:cs="宋体"/>
          <w:b/>
          <w:bCs/>
          <w:szCs w:val="21"/>
        </w:rPr>
      </w:pPr>
    </w:p>
    <w:p>
      <w:pPr>
        <w:spacing w:afterLines="100"/>
        <w:jc w:val="left"/>
        <w:outlineLvl w:val="0"/>
        <w:rPr>
          <w:rFonts w:ascii="仿宋" w:hAnsi="仿宋" w:eastAsia="仿宋" w:cs="宋体"/>
          <w:b/>
          <w:bCs/>
          <w:szCs w:val="21"/>
        </w:rPr>
      </w:pPr>
    </w:p>
    <w:p>
      <w:pPr>
        <w:spacing w:afterLines="100"/>
        <w:jc w:val="left"/>
        <w:outlineLvl w:val="0"/>
        <w:rPr>
          <w:rFonts w:ascii="仿宋" w:hAnsi="仿宋" w:eastAsia="仿宋" w:cs="宋体"/>
          <w:b/>
          <w:bCs/>
          <w:szCs w:val="21"/>
        </w:rPr>
      </w:pPr>
    </w:p>
    <w:p>
      <w:pPr>
        <w:spacing w:afterLines="100"/>
        <w:jc w:val="left"/>
        <w:outlineLvl w:val="0"/>
        <w:rPr>
          <w:rFonts w:ascii="仿宋" w:hAnsi="仿宋" w:eastAsia="仿宋" w:cs="宋体"/>
          <w:b/>
          <w:bCs/>
          <w:szCs w:val="21"/>
        </w:rPr>
      </w:pPr>
    </w:p>
    <w:p>
      <w:pPr>
        <w:spacing w:afterLines="100"/>
        <w:jc w:val="left"/>
        <w:outlineLvl w:val="0"/>
        <w:rPr>
          <w:rFonts w:ascii="仿宋" w:hAnsi="仿宋" w:eastAsia="仿宋" w:cs="宋体"/>
          <w:b/>
          <w:bCs/>
          <w:szCs w:val="21"/>
        </w:rPr>
      </w:pPr>
    </w:p>
    <w:p>
      <w:pPr>
        <w:numPr>
          <w:ilvl w:val="0"/>
          <w:numId w:val="30"/>
        </w:numPr>
        <w:spacing w:line="360" w:lineRule="auto"/>
        <w:rPr>
          <w:rFonts w:ascii="仿宋" w:hAnsi="仿宋" w:eastAsia="仿宋" w:cs="宋体"/>
          <w:szCs w:val="21"/>
        </w:rPr>
      </w:pPr>
      <w:r>
        <w:rPr>
          <w:rFonts w:hint="eastAsia" w:ascii="仿宋" w:hAnsi="仿宋" w:eastAsia="仿宋" w:cs="宋体"/>
          <w:szCs w:val="21"/>
        </w:rPr>
        <w:t>如发现车库中有偷车情况，应立即通知监控中心予以摄像控制报警。</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关闭车库进出口闸门，以免窃贼逃逸。</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尽快报警。</w:t>
      </w:r>
    </w:p>
    <w:p>
      <w:pPr>
        <w:numPr>
          <w:ilvl w:val="0"/>
          <w:numId w:val="30"/>
        </w:numPr>
        <w:spacing w:line="360" w:lineRule="auto"/>
        <w:rPr>
          <w:rFonts w:ascii="仿宋" w:hAnsi="仿宋" w:eastAsia="仿宋" w:cs="宋体"/>
          <w:szCs w:val="21"/>
        </w:rPr>
      </w:pPr>
      <w:r>
        <w:rPr>
          <w:rFonts w:hint="eastAsia" w:ascii="仿宋" w:hAnsi="仿宋" w:eastAsia="仿宋" w:cs="宋体"/>
          <w:szCs w:val="21"/>
        </w:rPr>
        <w:t>记录被盗车辆形牌号、颜色、型号，记下窃贼人数和体表特征，及有否凶器、车辆行驶路线；勿阻闯关车辆。至警方人员到场后，将以上情况向其提供，并协助警方人员处理，记录到达警方人员情况，以备后查。</w:t>
      </w:r>
    </w:p>
    <w:p>
      <w:pPr>
        <w:numPr>
          <w:ilvl w:val="0"/>
          <w:numId w:val="29"/>
        </w:numPr>
        <w:spacing w:afterLines="100"/>
        <w:jc w:val="left"/>
        <w:outlineLvl w:val="0"/>
        <w:rPr>
          <w:rFonts w:ascii="仿宋" w:hAnsi="仿宋" w:eastAsia="仿宋" w:cs="宋体"/>
          <w:b/>
          <w:bCs/>
          <w:szCs w:val="21"/>
        </w:rPr>
      </w:pPr>
      <w:r>
        <w:rPr>
          <w:rFonts w:hint="eastAsia" w:ascii="仿宋" w:hAnsi="仿宋" w:eastAsia="仿宋" w:cs="宋体"/>
          <w:b/>
          <w:bCs/>
          <w:szCs w:val="21"/>
        </w:rPr>
        <w:t>发生车辆被损坏处理</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当管理人员发现停车场里的车辆发生损坏时，管理员应立即通知车主，并报告主管和物业服务中心。</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属撞车事故的，管理员不得放行造成事故的车辆，应保护好现场做好记录及拍照等工作。</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发现楼上抛物砸车事故，管理员应立即制止，并通知肇事者对造成的事故进行确认。</w:t>
      </w:r>
    </w:p>
    <w:p>
      <w:pPr>
        <w:numPr>
          <w:ilvl w:val="0"/>
          <w:numId w:val="30"/>
        </w:numPr>
        <w:spacing w:line="360" w:lineRule="auto"/>
        <w:rPr>
          <w:rFonts w:ascii="仿宋" w:hAnsi="仿宋" w:eastAsia="仿宋" w:cs="宋体"/>
          <w:szCs w:val="21"/>
        </w:rPr>
      </w:pPr>
      <w:r>
        <w:rPr>
          <w:rFonts w:hint="eastAsia" w:ascii="仿宋" w:hAnsi="仿宋" w:eastAsia="仿宋" w:cs="宋体"/>
          <w:szCs w:val="21"/>
        </w:rPr>
        <w:t>管理员认真填写“交接班记录”，如实写明车辆进场时间，停放地点、发生事故的时间以及发现后报告有关人员的情况。</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发生事故后，被保险人（车主、停车场）双方应立即通知保险公司。</w:t>
      </w:r>
    </w:p>
    <w:p>
      <w:pPr>
        <w:numPr>
          <w:ilvl w:val="0"/>
          <w:numId w:val="30"/>
        </w:numPr>
        <w:spacing w:line="360" w:lineRule="auto"/>
        <w:rPr>
          <w:rFonts w:ascii="仿宋" w:hAnsi="仿宋" w:eastAsia="仿宋" w:cs="宋体"/>
          <w:szCs w:val="21"/>
        </w:rPr>
      </w:pPr>
      <w:r>
        <w:rPr>
          <w:rFonts w:hint="eastAsia" w:ascii="仿宋" w:hAnsi="仿宋" w:eastAsia="仿宋" w:cs="宋体"/>
          <w:szCs w:val="21"/>
        </w:rPr>
        <w:t>管理员、物业服务中心、车主应配合公安交警部门和保险公司做好调查处理。</w:t>
      </w:r>
    </w:p>
    <w:p>
      <w:pPr>
        <w:numPr>
          <w:ilvl w:val="0"/>
          <w:numId w:val="29"/>
        </w:numPr>
        <w:spacing w:afterLines="100"/>
        <w:jc w:val="left"/>
        <w:outlineLvl w:val="0"/>
        <w:rPr>
          <w:rFonts w:ascii="仿宋" w:hAnsi="仿宋" w:eastAsia="仿宋" w:cs="宋体"/>
          <w:szCs w:val="21"/>
        </w:rPr>
      </w:pPr>
      <w:r>
        <w:rPr>
          <w:rFonts w:hint="eastAsia" w:ascii="仿宋" w:hAnsi="仿宋" w:eastAsia="仿宋" w:cs="宋体"/>
          <w:b/>
          <w:bCs/>
          <w:szCs w:val="21"/>
        </w:rPr>
        <w:t>物业范围内交通事故（物业设备受损）</w:t>
      </w:r>
    </w:p>
    <w:p>
      <w:pPr>
        <w:numPr>
          <w:ilvl w:val="0"/>
          <w:numId w:val="30"/>
        </w:numPr>
        <w:spacing w:line="360" w:lineRule="auto"/>
        <w:rPr>
          <w:rFonts w:ascii="仿宋" w:hAnsi="仿宋" w:eastAsia="仿宋" w:cs="宋体"/>
          <w:szCs w:val="21"/>
        </w:rPr>
      </w:pPr>
      <w:r>
        <w:rPr>
          <w:rFonts w:hint="eastAsia" w:ascii="仿宋" w:hAnsi="仿宋" w:eastAsia="仿宋" w:cs="宋体"/>
          <w:szCs w:val="21"/>
        </w:rPr>
        <w:t>管理员发现有车辆物业范围内有交通事故，导致设备损坏的，应立即通知主管，并于现场抄录驾驶人详细资料，登记车车牌号码及驾驶执照等。</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在驾驶者面前用照相机记录现场情况，行车路线，方向角度，损坏情况等，让驾驶者自愿承诺赔偿书面文本。主管安排员工聚守物业出入品，以免混乱，并安排员工流通车辆，禁止任何人围观。</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如被损坏之设施急需修理，须通知维修人员立即进行。</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如有需要，经本物业服务中心批准后，向公安报警。</w:t>
      </w:r>
    </w:p>
    <w:p>
      <w:pPr>
        <w:numPr>
          <w:ilvl w:val="0"/>
          <w:numId w:val="30"/>
        </w:numPr>
        <w:spacing w:line="360" w:lineRule="auto"/>
        <w:rPr>
          <w:rFonts w:ascii="仿宋" w:hAnsi="仿宋" w:eastAsia="仿宋" w:cs="宋体"/>
          <w:szCs w:val="21"/>
        </w:rPr>
      </w:pPr>
      <w:r>
        <w:rPr>
          <w:rFonts w:hint="eastAsia" w:ascii="仿宋" w:hAnsi="仿宋" w:eastAsia="仿宋" w:cs="宋体"/>
          <w:szCs w:val="21"/>
        </w:rPr>
        <w:t>详细记录事情经过，上报物业服务中心。</w:t>
      </w:r>
    </w:p>
    <w:p>
      <w:pPr>
        <w:numPr>
          <w:ilvl w:val="0"/>
          <w:numId w:val="29"/>
        </w:numPr>
        <w:spacing w:afterLines="100"/>
        <w:jc w:val="left"/>
        <w:outlineLvl w:val="0"/>
        <w:rPr>
          <w:rFonts w:ascii="仿宋" w:hAnsi="仿宋" w:eastAsia="仿宋" w:cs="宋体"/>
          <w:szCs w:val="21"/>
        </w:rPr>
      </w:pPr>
      <w:r>
        <w:rPr>
          <w:rFonts w:hint="eastAsia" w:ascii="仿宋" w:hAnsi="仿宋" w:eastAsia="仿宋" w:cs="宋体"/>
          <w:b/>
          <w:bCs/>
          <w:szCs w:val="21"/>
        </w:rPr>
        <w:t>物业范围内交通事故（涉及两部或以上车辆）</w:t>
      </w:r>
    </w:p>
    <w:p>
      <w:pPr>
        <w:numPr>
          <w:ilvl w:val="0"/>
          <w:numId w:val="30"/>
        </w:numPr>
        <w:spacing w:line="360" w:lineRule="auto"/>
        <w:rPr>
          <w:rFonts w:ascii="仿宋" w:hAnsi="仿宋" w:eastAsia="仿宋" w:cs="宋体"/>
          <w:szCs w:val="21"/>
        </w:rPr>
      </w:pPr>
      <w:r>
        <w:rPr>
          <w:rFonts w:hint="eastAsia" w:ascii="仿宋" w:hAnsi="仿宋" w:eastAsia="仿宋" w:cs="宋体"/>
          <w:szCs w:val="21"/>
        </w:rPr>
        <w:t>管理员应立即通知主管，由主管了解是否须要报警。</w:t>
      </w:r>
    </w:p>
    <w:p>
      <w:pPr>
        <w:numPr>
          <w:ilvl w:val="0"/>
          <w:numId w:val="30"/>
        </w:numPr>
        <w:spacing w:line="360" w:lineRule="auto"/>
        <w:rPr>
          <w:rFonts w:ascii="仿宋" w:hAnsi="仿宋" w:eastAsia="仿宋" w:cs="宋体"/>
          <w:szCs w:val="21"/>
        </w:rPr>
      </w:pPr>
      <w:r>
        <w:rPr>
          <w:rFonts w:hint="eastAsia" w:ascii="仿宋" w:hAnsi="仿宋" w:eastAsia="仿宋" w:cs="宋体"/>
          <w:szCs w:val="21"/>
        </w:rPr>
        <w:t>主管安排管理员及保安员紧守物业出入口，并安排员工流通车辆，以免阻塞。</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如轻微损坏，车主要求不须报警而自行处理，主管应劝喻车辆尽快离开物业范围。</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如已报警，应尽量控制所须时间，使物业范围交通尽快回复。</w:t>
      </w:r>
    </w:p>
    <w:p>
      <w:pPr>
        <w:numPr>
          <w:ilvl w:val="0"/>
          <w:numId w:val="30"/>
        </w:numPr>
        <w:spacing w:line="360" w:lineRule="auto"/>
        <w:rPr>
          <w:rFonts w:ascii="仿宋" w:hAnsi="仿宋" w:eastAsia="仿宋" w:cs="宋体"/>
          <w:szCs w:val="21"/>
        </w:rPr>
      </w:pPr>
      <w:r>
        <w:rPr>
          <w:rFonts w:hint="eastAsia" w:ascii="仿宋" w:hAnsi="仿宋" w:eastAsia="仿宋" w:cs="宋体"/>
          <w:szCs w:val="21"/>
        </w:rPr>
        <w:t>详细记录事件经过并对现场拍照留底，上报物业服务中心。</w:t>
      </w:r>
    </w:p>
    <w:p>
      <w:pPr>
        <w:numPr>
          <w:ilvl w:val="0"/>
          <w:numId w:val="29"/>
        </w:numPr>
        <w:spacing w:afterLines="100"/>
        <w:jc w:val="left"/>
        <w:outlineLvl w:val="0"/>
        <w:rPr>
          <w:rFonts w:ascii="仿宋" w:hAnsi="仿宋" w:eastAsia="仿宋" w:cs="宋体"/>
          <w:b/>
          <w:bCs/>
          <w:szCs w:val="21"/>
        </w:rPr>
      </w:pPr>
      <w:bookmarkStart w:id="25" w:name="_Toc98150607"/>
      <w:bookmarkStart w:id="26" w:name="_Toc25937"/>
      <w:bookmarkStart w:id="27" w:name="_Toc22954"/>
      <w:r>
        <w:rPr>
          <w:rFonts w:hint="eastAsia" w:ascii="仿宋" w:hAnsi="仿宋" w:eastAsia="仿宋" w:cs="宋体"/>
          <w:b/>
          <w:bCs/>
          <w:szCs w:val="21"/>
        </w:rPr>
        <w:t>暴雨及水淹</w:t>
      </w:r>
      <w:bookmarkEnd w:id="25"/>
      <w:bookmarkEnd w:id="26"/>
      <w:bookmarkEnd w:id="27"/>
    </w:p>
    <w:p>
      <w:pPr>
        <w:numPr>
          <w:ilvl w:val="0"/>
          <w:numId w:val="30"/>
        </w:numPr>
        <w:spacing w:line="360" w:lineRule="auto"/>
        <w:rPr>
          <w:rFonts w:ascii="仿宋" w:hAnsi="仿宋" w:eastAsia="仿宋" w:cs="宋体"/>
          <w:szCs w:val="21"/>
        </w:rPr>
      </w:pPr>
      <w:r>
        <w:rPr>
          <w:rFonts w:hint="eastAsia" w:ascii="仿宋" w:hAnsi="仿宋" w:eastAsia="仿宋" w:cs="宋体"/>
          <w:szCs w:val="21"/>
        </w:rPr>
        <w:t>当收到暴雨将至的通知，清洁公司人员（或清洁工）应及时清理各下水口之垃圾。若停车场经常发生市政排水渠水倒流之情况，则应考虑将切断与市政排水渠相通，以防市政排水渠中之水倒流。工程部应检查车场内排水设施是否能正常运转，物业服务中心同时准备相关停泊车辆车主之联络数据，以便突发情况之紧急联络之用。</w:t>
      </w:r>
    </w:p>
    <w:p>
      <w:pPr>
        <w:numPr>
          <w:ilvl w:val="0"/>
          <w:numId w:val="30"/>
        </w:numPr>
        <w:spacing w:line="360" w:lineRule="auto"/>
        <w:rPr>
          <w:rFonts w:ascii="仿宋" w:hAnsi="仿宋" w:eastAsia="仿宋" w:cs="宋体"/>
          <w:szCs w:val="21"/>
        </w:rPr>
      </w:pPr>
      <w:r>
        <w:rPr>
          <w:rFonts w:hint="eastAsia" w:ascii="仿宋" w:hAnsi="仿宋" w:eastAsia="仿宋" w:cs="宋体"/>
          <w:szCs w:val="21"/>
        </w:rPr>
        <w:t>清洁公司人员（或清洁工）搬运预定之沙包摆放于停车出入口相关位置，以防路面之雨水流入车库。</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如发现水浸或遇水管爆裂，应即时通知保安中心及工程值班室，马上到水制房关闸，进行紧急排水；并调派人手用沙包堵截水源。</w:t>
      </w:r>
    </w:p>
    <w:p>
      <w:pPr>
        <w:numPr>
          <w:ilvl w:val="0"/>
          <w:numId w:val="30"/>
        </w:numPr>
        <w:spacing w:line="360" w:lineRule="auto"/>
        <w:rPr>
          <w:rFonts w:ascii="仿宋" w:hAnsi="仿宋" w:eastAsia="仿宋" w:cs="宋体"/>
          <w:szCs w:val="21"/>
        </w:rPr>
      </w:pPr>
      <w:r>
        <w:rPr>
          <w:rFonts w:hint="eastAsia" w:ascii="仿宋" w:hAnsi="仿宋" w:eastAsia="仿宋" w:cs="宋体"/>
          <w:szCs w:val="21"/>
        </w:rPr>
        <w:t>车场主管根据雨势情况，对上述程序进行监管。并及时跟进实际情况，调动清洁公司人员（或清洁工）清理积水、疏通水沟及通知工程部开启排水泵等工作，以免车库内车辆被水淹而遭受损失。并视情况是否需要通知相关人士将车辆驶离车场。</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如水势太大，雨水无法阻截而大量流入车库时，当值主管应实时报告上级，安排在出入口收费处摆放 “暂停车辆出入” 之告示牌，通知收费处暂停车辆离场收费工作后即安排清洁公司安装防水闸。</w:t>
      </w:r>
    </w:p>
    <w:p>
      <w:pPr>
        <w:numPr>
          <w:ilvl w:val="0"/>
          <w:numId w:val="30"/>
        </w:numPr>
        <w:spacing w:line="360" w:lineRule="auto"/>
        <w:rPr>
          <w:rFonts w:ascii="仿宋" w:hAnsi="仿宋" w:eastAsia="仿宋" w:cs="宋体"/>
          <w:szCs w:val="21"/>
        </w:rPr>
      </w:pPr>
      <w:r>
        <w:rPr>
          <w:rFonts w:hint="eastAsia" w:ascii="仿宋" w:hAnsi="仿宋" w:eastAsia="仿宋" w:cs="宋体"/>
          <w:szCs w:val="21"/>
        </w:rPr>
        <w:t>暴雨过后，当值安全主管应及时调度指挥各项清理工作，通知收费处免收因时租车辆暂停离场而应交之费用，并恢复正常运作。</w:t>
      </w:r>
    </w:p>
    <w:p>
      <w:pPr>
        <w:numPr>
          <w:ilvl w:val="0"/>
          <w:numId w:val="29"/>
        </w:numPr>
        <w:spacing w:afterLines="100"/>
        <w:jc w:val="left"/>
        <w:outlineLvl w:val="0"/>
        <w:rPr>
          <w:rFonts w:ascii="仿宋" w:hAnsi="仿宋" w:eastAsia="仿宋" w:cs="宋体"/>
          <w:b/>
          <w:bCs/>
          <w:szCs w:val="21"/>
        </w:rPr>
      </w:pPr>
      <w:bookmarkStart w:id="28" w:name="_Toc98150608"/>
      <w:bookmarkStart w:id="29" w:name="_Toc24994"/>
      <w:bookmarkStart w:id="30" w:name="_Toc6135"/>
      <w:r>
        <w:rPr>
          <w:rFonts w:hint="eastAsia" w:ascii="仿宋" w:hAnsi="仿宋" w:eastAsia="仿宋" w:cs="宋体"/>
          <w:b/>
          <w:bCs/>
          <w:szCs w:val="21"/>
        </w:rPr>
        <w:t>发生火警</w:t>
      </w:r>
      <w:bookmarkEnd w:id="28"/>
      <w:bookmarkEnd w:id="29"/>
      <w:bookmarkEnd w:id="30"/>
    </w:p>
    <w:p>
      <w:pPr>
        <w:numPr>
          <w:ilvl w:val="0"/>
          <w:numId w:val="30"/>
        </w:numPr>
        <w:spacing w:line="360" w:lineRule="auto"/>
        <w:rPr>
          <w:rFonts w:ascii="仿宋" w:hAnsi="仿宋" w:eastAsia="仿宋" w:cs="宋体"/>
          <w:szCs w:val="21"/>
        </w:rPr>
      </w:pPr>
      <w:r>
        <w:rPr>
          <w:rFonts w:hint="eastAsia" w:ascii="仿宋" w:hAnsi="仿宋" w:eastAsia="仿宋" w:cs="宋体"/>
          <w:szCs w:val="21"/>
        </w:rPr>
        <w:t>及时通知消防中心，消防中心确定火警或属误报。</w:t>
      </w:r>
    </w:p>
    <w:p>
      <w:pPr>
        <w:numPr>
          <w:ilvl w:val="0"/>
          <w:numId w:val="30"/>
        </w:numPr>
        <w:spacing w:line="360" w:lineRule="auto"/>
        <w:rPr>
          <w:rFonts w:ascii="仿宋" w:hAnsi="仿宋" w:eastAsia="仿宋" w:cs="宋体"/>
          <w:szCs w:val="21"/>
        </w:rPr>
      </w:pPr>
      <w:r>
        <w:rPr>
          <w:rFonts w:hint="eastAsia" w:ascii="仿宋" w:hAnsi="仿宋" w:eastAsia="仿宋" w:cs="宋体"/>
          <w:szCs w:val="21"/>
        </w:rPr>
        <w:t>确认为火警应立刻拨打119报警；如火势较小，可以即时用灭火器材进行扑救；</w:t>
      </w:r>
      <w:r>
        <w:rPr>
          <w:rFonts w:hint="eastAsia" w:ascii="宋体" w:hAnsi="宋体" w:eastAsia="宋体" w:cs="宋体"/>
          <w:szCs w:val="21"/>
        </w:rPr>
        <w:t> </w:t>
      </w:r>
      <w:r>
        <w:rPr>
          <w:rFonts w:hint="eastAsia" w:ascii="仿宋" w:hAnsi="仿宋" w:eastAsia="仿宋" w:cs="宋体"/>
          <w:szCs w:val="21"/>
        </w:rPr>
        <w:t>如火势剧烈，难以控制时，则协助其他人员疏散撤离。</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如确定属误报，及时通知消防中心开启卷帘，保持车场正常进行。</w:t>
      </w:r>
    </w:p>
    <w:p>
      <w:pPr>
        <w:spacing w:line="440" w:lineRule="exact"/>
        <w:rPr>
          <w:rFonts w:ascii="仿宋" w:hAnsi="仿宋" w:eastAsia="仿宋" w:cs="宋体"/>
          <w:szCs w:val="21"/>
        </w:rPr>
      </w:pPr>
    </w:p>
    <w:p>
      <w:pPr>
        <w:numPr>
          <w:ilvl w:val="0"/>
          <w:numId w:val="29"/>
        </w:numPr>
        <w:spacing w:afterLines="100"/>
        <w:jc w:val="left"/>
        <w:outlineLvl w:val="0"/>
        <w:rPr>
          <w:rFonts w:ascii="仿宋" w:hAnsi="仿宋" w:eastAsia="仿宋" w:cs="宋体"/>
          <w:b/>
          <w:bCs/>
          <w:szCs w:val="21"/>
        </w:rPr>
      </w:pPr>
      <w:bookmarkStart w:id="31" w:name="_Toc24813"/>
      <w:bookmarkStart w:id="32" w:name="_Toc31689"/>
      <w:bookmarkStart w:id="33" w:name="_Toc98150609"/>
      <w:r>
        <w:rPr>
          <w:rFonts w:hint="eastAsia" w:ascii="仿宋" w:hAnsi="仿宋" w:eastAsia="仿宋" w:cs="宋体"/>
          <w:b/>
          <w:bCs/>
          <w:szCs w:val="21"/>
        </w:rPr>
        <w:t>紧急停电</w:t>
      </w:r>
      <w:bookmarkEnd w:id="31"/>
      <w:bookmarkEnd w:id="32"/>
      <w:bookmarkEnd w:id="33"/>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使用紧急照明，保证各通道的照明；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立即将停电区域及详细情况报告当值主管或保安部当值主管；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如收费系统停电或有故障，则应通知出入口岗位当值人员，同时使用手动计费如下：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车辆进入车场时，由入口岗位人员手动起杆，如属时租者需用对讲机通知收银员用打卡机按时间、序号打于临时时间卡后，将卡交给车辆驾驶员；（或用笔录将时间写于临时卡）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车辆驾驶员在离场时驾车至收费处打卡缴款，收银员收回计时卡及开出收据或发票；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司机驾车到闸口出示收据，车场保安员检视后，手动起杆放行；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 收银员在收到计时卡后应做好详细登记并核对发出临时时钟卡及收回临时时钟卡之情况，于移交财务部时登记清楚。</w:t>
      </w:r>
    </w:p>
    <w:p>
      <w:pPr>
        <w:numPr>
          <w:ilvl w:val="0"/>
          <w:numId w:val="29"/>
        </w:numPr>
        <w:spacing w:afterLines="100"/>
        <w:jc w:val="left"/>
        <w:outlineLvl w:val="0"/>
        <w:rPr>
          <w:rFonts w:ascii="仿宋" w:hAnsi="仿宋" w:eastAsia="仿宋" w:cs="宋体"/>
          <w:b/>
          <w:bCs/>
          <w:szCs w:val="21"/>
        </w:rPr>
      </w:pPr>
      <w:bookmarkStart w:id="34" w:name="_Toc98150610"/>
      <w:bookmarkStart w:id="35" w:name="_Toc4181"/>
      <w:bookmarkStart w:id="36" w:name="_Toc16962"/>
      <w:r>
        <w:rPr>
          <w:rFonts w:hint="eastAsia" w:ascii="仿宋" w:hAnsi="仿宋" w:eastAsia="仿宋" w:cs="宋体"/>
          <w:b/>
          <w:bCs/>
          <w:szCs w:val="21"/>
        </w:rPr>
        <w:t>与客户纠纷</w:t>
      </w:r>
      <w:bookmarkEnd w:id="34"/>
      <w:bookmarkEnd w:id="35"/>
      <w:bookmarkEnd w:id="36"/>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及时通知车辆主管，如实汇报双方损失情况并知会保安部；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由车场主管确定处理方案；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尽快恢复车场正常运作；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将事件报告及时反馈给车场主管；</w:t>
      </w:r>
    </w:p>
    <w:p>
      <w:pPr>
        <w:numPr>
          <w:ilvl w:val="0"/>
          <w:numId w:val="29"/>
        </w:numPr>
        <w:spacing w:afterLines="100"/>
        <w:jc w:val="left"/>
        <w:outlineLvl w:val="0"/>
        <w:rPr>
          <w:rFonts w:ascii="仿宋" w:hAnsi="仿宋" w:eastAsia="仿宋" w:cs="宋体"/>
          <w:b/>
          <w:bCs/>
          <w:szCs w:val="21"/>
        </w:rPr>
      </w:pPr>
      <w:bookmarkStart w:id="37" w:name="_Toc32276"/>
      <w:bookmarkStart w:id="38" w:name="_Toc3284"/>
      <w:bookmarkStart w:id="39" w:name="_Toc98150611"/>
      <w:r>
        <w:rPr>
          <w:rFonts w:hint="eastAsia" w:ascii="仿宋" w:hAnsi="仿宋" w:eastAsia="仿宋" w:cs="宋体"/>
          <w:b/>
          <w:bCs/>
          <w:szCs w:val="21"/>
        </w:rPr>
        <w:t>系统故障</w:t>
      </w:r>
      <w:bookmarkEnd w:id="37"/>
      <w:bookmarkEnd w:id="38"/>
      <w:bookmarkEnd w:id="39"/>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及时通知车场主，确定原因；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 xml:space="preserve">如仍无法排除故障，由车场主管授权由厂家技术人员处理； </w:t>
      </w:r>
    </w:p>
    <w:p>
      <w:pPr>
        <w:numPr>
          <w:ilvl w:val="0"/>
          <w:numId w:val="30"/>
        </w:numPr>
        <w:spacing w:line="360" w:lineRule="auto"/>
        <w:rPr>
          <w:rFonts w:ascii="仿宋" w:hAnsi="仿宋" w:eastAsia="仿宋" w:cs="宋体"/>
          <w:szCs w:val="21"/>
        </w:rPr>
      </w:pPr>
      <w:r>
        <w:rPr>
          <w:rFonts w:hint="eastAsia" w:ascii="仿宋" w:hAnsi="仿宋" w:eastAsia="仿宋" w:cs="宋体"/>
          <w:szCs w:val="21"/>
        </w:rPr>
        <w:t>系统故障时，由车场入口保安与收费人员协调进行人工收费；</w:t>
      </w:r>
    </w:p>
    <w:p>
      <w:pPr>
        <w:spacing w:afterLines="100" w:line="360" w:lineRule="auto"/>
        <w:ind w:firstLine="420" w:firstLineChars="200"/>
        <w:jc w:val="center"/>
        <w:outlineLvl w:val="0"/>
        <w:rPr>
          <w:rFonts w:ascii="仿宋" w:hAnsi="仿宋" w:eastAsia="仿宋" w:cs="宋体"/>
          <w:szCs w:val="21"/>
        </w:rPr>
      </w:pPr>
      <w:bookmarkStart w:id="40" w:name="_Toc31966"/>
      <w:bookmarkStart w:id="41" w:name="_Toc11165"/>
      <w:bookmarkStart w:id="42" w:name="_Toc7804"/>
      <w:bookmarkStart w:id="43" w:name="_Toc98150612"/>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hint="eastAsia" w:ascii="仿宋" w:hAnsi="仿宋" w:eastAsia="仿宋" w:cs="宋体"/>
          <w:b/>
          <w:szCs w:val="21"/>
        </w:rPr>
      </w:pPr>
    </w:p>
    <w:p>
      <w:pPr>
        <w:spacing w:afterLines="100" w:line="360" w:lineRule="auto"/>
        <w:ind w:firstLine="422" w:firstLineChars="200"/>
        <w:jc w:val="center"/>
        <w:outlineLvl w:val="0"/>
        <w:rPr>
          <w:rFonts w:ascii="仿宋" w:hAnsi="仿宋" w:eastAsia="仿宋" w:cs="宋体"/>
          <w:b/>
          <w:szCs w:val="21"/>
        </w:rPr>
      </w:pPr>
      <w:r>
        <w:rPr>
          <w:rFonts w:hint="eastAsia" w:ascii="仿宋" w:hAnsi="仿宋" w:eastAsia="仿宋" w:cs="宋体"/>
          <w:b/>
          <w:szCs w:val="21"/>
        </w:rPr>
        <w:t>九、停车场常用表格规范格式</w:t>
      </w:r>
      <w:bookmarkEnd w:id="40"/>
      <w:bookmarkEnd w:id="41"/>
      <w:bookmarkEnd w:id="42"/>
      <w:bookmarkEnd w:id="43"/>
    </w:p>
    <w:p>
      <w:pPr>
        <w:jc w:val="center"/>
        <w:rPr>
          <w:rFonts w:ascii="仿宋" w:hAnsi="仿宋" w:eastAsia="仿宋" w:cs="宋体"/>
          <w:b/>
          <w:szCs w:val="21"/>
        </w:rPr>
      </w:pPr>
      <w:r>
        <w:rPr>
          <w:rFonts w:hint="eastAsia" w:ascii="仿宋" w:hAnsi="仿宋" w:eastAsia="仿宋" w:cs="宋体"/>
          <w:b/>
          <w:bCs/>
          <w:szCs w:val="21"/>
        </w:rPr>
        <w:t>1、停车场</w:t>
      </w:r>
      <w:r>
        <w:rPr>
          <w:rFonts w:hint="eastAsia" w:ascii="仿宋" w:hAnsi="仿宋" w:eastAsia="仿宋" w:cs="宋体"/>
          <w:b/>
          <w:szCs w:val="21"/>
        </w:rPr>
        <w:t>管理处月票销售记录</w:t>
      </w:r>
    </w:p>
    <w:p>
      <w:pPr>
        <w:jc w:val="center"/>
        <w:outlineLvl w:val="0"/>
        <w:rPr>
          <w:rFonts w:ascii="仿宋" w:hAnsi="仿宋" w:eastAsia="仿宋" w:cs="宋体"/>
          <w:b/>
          <w:szCs w:val="21"/>
        </w:rPr>
      </w:pPr>
      <w:bookmarkStart w:id="44" w:name="_Toc98150613"/>
      <w:bookmarkStart w:id="45" w:name="_Toc14630"/>
      <w:bookmarkStart w:id="46" w:name="_Toc11056"/>
      <w:bookmarkStart w:id="47" w:name="_Toc5559"/>
      <w:r>
        <w:rPr>
          <w:rFonts w:hint="eastAsia" w:ascii="仿宋" w:hAnsi="仿宋" w:eastAsia="仿宋" w:cs="宋体"/>
          <w:b/>
          <w:szCs w:val="21"/>
        </w:rPr>
        <w:t>（停车场管理表格</w:t>
      </w:r>
      <w:r>
        <w:rPr>
          <w:rFonts w:hint="eastAsia" w:ascii="仿宋" w:hAnsi="仿宋" w:eastAsia="仿宋" w:cs="宋体"/>
          <w:b/>
          <w:bCs/>
          <w:szCs w:val="21"/>
        </w:rPr>
        <w:t>1）</w:t>
      </w:r>
      <w:bookmarkEnd w:id="44"/>
      <w:bookmarkEnd w:id="45"/>
      <w:bookmarkEnd w:id="46"/>
      <w:bookmarkEnd w:id="47"/>
    </w:p>
    <w:p>
      <w:pPr>
        <w:ind w:left="-598" w:leftChars="-285"/>
        <w:rPr>
          <w:rFonts w:ascii="仿宋" w:hAnsi="仿宋" w:eastAsia="仿宋" w:cs="宋体"/>
          <w:szCs w:val="21"/>
          <w:u w:val="single"/>
        </w:rPr>
      </w:pPr>
      <w:r>
        <w:rPr>
          <w:rFonts w:hint="eastAsia" w:ascii="仿宋" w:hAnsi="仿宋" w:eastAsia="仿宋" w:cs="宋体"/>
          <w:szCs w:val="21"/>
        </w:rPr>
        <w:t>月份：</w:t>
      </w:r>
    </w:p>
    <w:p>
      <w:pPr>
        <w:ind w:left="-598" w:leftChars="-285"/>
        <w:rPr>
          <w:rFonts w:ascii="仿宋" w:hAnsi="仿宋" w:eastAsia="仿宋" w:cs="宋体"/>
          <w:szCs w:val="21"/>
          <w:u w:val="singl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1260"/>
        <w:gridCol w:w="1364"/>
        <w:gridCol w:w="976"/>
        <w:gridCol w:w="890"/>
        <w:gridCol w:w="1117"/>
        <w:gridCol w:w="933"/>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Cs w:val="21"/>
              </w:rPr>
            </w:pPr>
            <w:r>
              <w:rPr>
                <w:rFonts w:hint="eastAsia" w:ascii="仿宋" w:hAnsi="仿宋" w:eastAsia="仿宋" w:cs="宋体"/>
                <w:b/>
                <w:bCs/>
                <w:szCs w:val="21"/>
              </w:rPr>
              <w:t>停车证号</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Cs w:val="21"/>
              </w:rPr>
            </w:pPr>
            <w:r>
              <w:rPr>
                <w:rFonts w:hint="eastAsia" w:ascii="仿宋" w:hAnsi="仿宋" w:eastAsia="仿宋" w:cs="宋体"/>
                <w:b/>
                <w:bCs/>
                <w:szCs w:val="21"/>
              </w:rPr>
              <w:t>车位</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Cs w:val="21"/>
              </w:rPr>
            </w:pPr>
            <w:r>
              <w:rPr>
                <w:rFonts w:hint="eastAsia" w:ascii="仿宋" w:hAnsi="仿宋" w:eastAsia="仿宋" w:cs="宋体"/>
                <w:b/>
                <w:bCs/>
                <w:szCs w:val="21"/>
              </w:rPr>
              <w:t>车主姓名</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Cs w:val="21"/>
              </w:rPr>
            </w:pPr>
            <w:r>
              <w:rPr>
                <w:rFonts w:hint="eastAsia" w:ascii="仿宋" w:hAnsi="仿宋" w:eastAsia="仿宋" w:cs="宋体"/>
                <w:b/>
                <w:bCs/>
                <w:szCs w:val="21"/>
              </w:rPr>
              <w:t>车牌号</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Cs w:val="21"/>
              </w:rPr>
            </w:pPr>
            <w:r>
              <w:rPr>
                <w:rFonts w:hint="eastAsia" w:ascii="仿宋" w:hAnsi="仿宋" w:eastAsia="仿宋" w:cs="宋体"/>
                <w:b/>
                <w:bCs/>
                <w:szCs w:val="21"/>
              </w:rPr>
              <w:t>车型颜色</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Cs w:val="21"/>
              </w:rPr>
            </w:pPr>
            <w:r>
              <w:rPr>
                <w:rFonts w:hint="eastAsia" w:ascii="仿宋" w:hAnsi="仿宋" w:eastAsia="仿宋" w:cs="宋体"/>
                <w:b/>
                <w:bCs/>
                <w:szCs w:val="21"/>
              </w:rPr>
              <w:t>有效期</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Cs w:val="21"/>
              </w:rPr>
            </w:pPr>
            <w:r>
              <w:rPr>
                <w:rFonts w:hint="eastAsia" w:ascii="仿宋" w:hAnsi="仿宋" w:eastAsia="仿宋" w:cs="宋体"/>
                <w:b/>
                <w:bCs/>
                <w:szCs w:val="21"/>
              </w:rPr>
              <w:t>车主签收</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Cs w:val="21"/>
              </w:rPr>
            </w:pPr>
            <w:r>
              <w:rPr>
                <w:rFonts w:hint="eastAsia" w:ascii="仿宋" w:hAnsi="仿宋" w:eastAsia="仿宋"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76"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89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933"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r>
    </w:tbl>
    <w:p>
      <w:pPr>
        <w:rPr>
          <w:rFonts w:ascii="仿宋" w:hAnsi="仿宋" w:eastAsia="仿宋" w:cs="宋体"/>
          <w:b/>
          <w:szCs w:val="21"/>
        </w:rPr>
      </w:pPr>
    </w:p>
    <w:p>
      <w:pPr>
        <w:ind w:firstLine="3173" w:firstLineChars="1505"/>
        <w:outlineLvl w:val="0"/>
        <w:rPr>
          <w:rFonts w:hint="eastAsia" w:ascii="仿宋" w:hAnsi="仿宋" w:eastAsia="仿宋" w:cs="宋体"/>
          <w:b/>
          <w:szCs w:val="21"/>
        </w:rPr>
      </w:pPr>
      <w:bookmarkStart w:id="48" w:name="_Toc98150614"/>
      <w:bookmarkStart w:id="49" w:name="_Toc28223"/>
      <w:bookmarkStart w:id="50" w:name="_Toc7129"/>
      <w:bookmarkStart w:id="51" w:name="_Toc29488"/>
    </w:p>
    <w:p>
      <w:pPr>
        <w:ind w:firstLine="3173" w:firstLineChars="1505"/>
        <w:outlineLvl w:val="0"/>
        <w:rPr>
          <w:rFonts w:ascii="仿宋" w:hAnsi="仿宋" w:eastAsia="仿宋" w:cs="宋体"/>
          <w:b/>
          <w:szCs w:val="21"/>
        </w:rPr>
      </w:pPr>
      <w:r>
        <w:rPr>
          <w:rFonts w:hint="eastAsia" w:ascii="仿宋" w:hAnsi="仿宋" w:eastAsia="仿宋" w:cs="宋体"/>
          <w:b/>
          <w:szCs w:val="21"/>
        </w:rPr>
        <w:t>2、遗失停证申报表</w:t>
      </w:r>
      <w:bookmarkEnd w:id="48"/>
      <w:bookmarkEnd w:id="49"/>
      <w:bookmarkEnd w:id="50"/>
      <w:bookmarkEnd w:id="51"/>
    </w:p>
    <w:p>
      <w:pPr>
        <w:jc w:val="center"/>
        <w:outlineLvl w:val="0"/>
        <w:rPr>
          <w:rFonts w:ascii="仿宋" w:hAnsi="仿宋" w:eastAsia="仿宋" w:cs="宋体"/>
          <w:b/>
          <w:szCs w:val="21"/>
        </w:rPr>
      </w:pPr>
      <w:bookmarkStart w:id="52" w:name="_Toc1203"/>
      <w:bookmarkStart w:id="53" w:name="_Toc30993"/>
      <w:bookmarkStart w:id="54" w:name="_Toc98150615"/>
      <w:bookmarkStart w:id="55" w:name="_Toc12854"/>
      <w:r>
        <w:rPr>
          <w:rFonts w:hint="eastAsia" w:ascii="仿宋" w:hAnsi="仿宋" w:eastAsia="仿宋" w:cs="宋体"/>
          <w:b/>
          <w:szCs w:val="21"/>
        </w:rPr>
        <w:t>（停车场管理表格</w:t>
      </w:r>
      <w:r>
        <w:rPr>
          <w:rFonts w:hint="eastAsia" w:ascii="仿宋" w:hAnsi="仿宋" w:eastAsia="仿宋" w:cs="宋体"/>
          <w:b/>
          <w:bCs/>
          <w:szCs w:val="21"/>
        </w:rPr>
        <w:t>2）</w:t>
      </w:r>
      <w:bookmarkEnd w:id="52"/>
      <w:bookmarkEnd w:id="53"/>
      <w:bookmarkEnd w:id="54"/>
      <w:bookmarkEnd w:id="55"/>
    </w:p>
    <w:p>
      <w:pPr>
        <w:rPr>
          <w:rFonts w:ascii="仿宋" w:hAnsi="仿宋" w:eastAsia="仿宋" w:cs="宋体"/>
          <w:szCs w:val="21"/>
        </w:rPr>
      </w:pPr>
      <w:r>
        <w:rPr>
          <w:rFonts w:hint="eastAsia" w:ascii="仿宋" w:hAnsi="仿宋" w:eastAsia="仿宋" w:cs="宋体"/>
          <w:szCs w:val="21"/>
        </w:rPr>
        <w:t>申报日期：</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6"/>
        <w:gridCol w:w="1488"/>
        <w:gridCol w:w="1272"/>
        <w:gridCol w:w="216"/>
        <w:gridCol w:w="1488"/>
        <w:gridCol w:w="276"/>
        <w:gridCol w:w="1212"/>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遗失物件</w:t>
            </w:r>
          </w:p>
        </w:tc>
        <w:tc>
          <w:tcPr>
            <w:tcW w:w="27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遗失日期及时间</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个人资料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申报人姓名</w:t>
            </w:r>
          </w:p>
        </w:tc>
        <w:tc>
          <w:tcPr>
            <w:tcW w:w="27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身份证号码</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行驶证号码</w:t>
            </w:r>
          </w:p>
        </w:tc>
        <w:tc>
          <w:tcPr>
            <w:tcW w:w="27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联系电话</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车辆数据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车牌号码</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c>
          <w:tcPr>
            <w:tcW w:w="1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车型</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c>
          <w:tcPr>
            <w:tcW w:w="1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颜色</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车主资料</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c>
          <w:tcPr>
            <w:tcW w:w="1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停车证号码</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c>
          <w:tcPr>
            <w:tcW w:w="1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车票号码</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遗失原因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892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是否需要补发新证：是/否（是，请补发              证）</w:t>
            </w:r>
          </w:p>
        </w:tc>
      </w:tr>
    </w:tbl>
    <w:p>
      <w:pPr>
        <w:jc w:val="center"/>
        <w:rPr>
          <w:rFonts w:ascii="仿宋" w:hAnsi="仿宋" w:eastAsia="仿宋" w:cs="宋体"/>
          <w:spacing w:val="160"/>
          <w:szCs w:val="21"/>
        </w:rPr>
      </w:pPr>
    </w:p>
    <w:p>
      <w:pPr>
        <w:jc w:val="center"/>
        <w:rPr>
          <w:rFonts w:ascii="仿宋" w:hAnsi="仿宋" w:eastAsia="仿宋" w:cs="宋体"/>
          <w:b/>
          <w:spacing w:val="160"/>
          <w:szCs w:val="21"/>
        </w:rPr>
      </w:pPr>
    </w:p>
    <w:p>
      <w:pPr>
        <w:jc w:val="center"/>
        <w:rPr>
          <w:rFonts w:ascii="仿宋" w:hAnsi="仿宋" w:eastAsia="仿宋" w:cs="宋体"/>
          <w:b/>
          <w:spacing w:val="160"/>
          <w:szCs w:val="21"/>
        </w:rPr>
      </w:pPr>
    </w:p>
    <w:p>
      <w:pPr>
        <w:jc w:val="center"/>
        <w:rPr>
          <w:rFonts w:ascii="仿宋" w:hAnsi="仿宋" w:eastAsia="仿宋" w:cs="宋体"/>
          <w:b/>
          <w:spacing w:val="160"/>
          <w:szCs w:val="21"/>
        </w:rPr>
      </w:pPr>
    </w:p>
    <w:p>
      <w:pPr>
        <w:jc w:val="center"/>
        <w:rPr>
          <w:rFonts w:ascii="仿宋" w:hAnsi="仿宋" w:eastAsia="仿宋" w:cs="宋体"/>
          <w:b/>
          <w:spacing w:val="160"/>
          <w:szCs w:val="21"/>
        </w:rPr>
      </w:pPr>
    </w:p>
    <w:p>
      <w:pPr>
        <w:jc w:val="center"/>
        <w:rPr>
          <w:rFonts w:ascii="仿宋" w:hAnsi="仿宋" w:eastAsia="仿宋" w:cs="宋体"/>
          <w:b/>
          <w:spacing w:val="160"/>
          <w:szCs w:val="21"/>
        </w:rPr>
      </w:pPr>
    </w:p>
    <w:p>
      <w:pPr>
        <w:jc w:val="center"/>
        <w:rPr>
          <w:rFonts w:ascii="仿宋" w:hAnsi="仿宋" w:eastAsia="仿宋" w:cs="宋体"/>
          <w:b/>
          <w:spacing w:val="160"/>
          <w:szCs w:val="21"/>
        </w:rPr>
      </w:pPr>
    </w:p>
    <w:p>
      <w:pPr>
        <w:jc w:val="center"/>
        <w:rPr>
          <w:rFonts w:ascii="仿宋" w:hAnsi="仿宋" w:eastAsia="仿宋" w:cs="宋体"/>
          <w:b/>
          <w:spacing w:val="160"/>
          <w:szCs w:val="21"/>
        </w:rPr>
      </w:pPr>
    </w:p>
    <w:p>
      <w:pPr>
        <w:jc w:val="center"/>
        <w:rPr>
          <w:rFonts w:ascii="仿宋" w:hAnsi="仿宋" w:eastAsia="仿宋" w:cs="宋体"/>
          <w:b/>
          <w:spacing w:val="160"/>
          <w:szCs w:val="21"/>
        </w:rPr>
      </w:pPr>
    </w:p>
    <w:p>
      <w:pPr>
        <w:wordWrap w:val="0"/>
        <w:spacing w:line="360" w:lineRule="auto"/>
        <w:ind w:right="140"/>
        <w:rPr>
          <w:rFonts w:ascii="仿宋" w:hAnsi="仿宋" w:eastAsia="仿宋" w:cs="宋体"/>
          <w:b/>
          <w:bCs/>
          <w:szCs w:val="21"/>
        </w:rPr>
      </w:pPr>
    </w:p>
    <w:p>
      <w:pPr>
        <w:wordWrap w:val="0"/>
        <w:spacing w:line="360" w:lineRule="auto"/>
        <w:ind w:right="140"/>
        <w:jc w:val="center"/>
        <w:rPr>
          <w:rFonts w:hint="eastAsia" w:ascii="仿宋" w:hAnsi="仿宋" w:eastAsia="仿宋" w:cs="宋体"/>
          <w:b/>
          <w:bCs/>
          <w:szCs w:val="21"/>
        </w:rPr>
      </w:pPr>
    </w:p>
    <w:p>
      <w:pPr>
        <w:wordWrap w:val="0"/>
        <w:spacing w:line="360" w:lineRule="auto"/>
        <w:ind w:right="140"/>
        <w:jc w:val="center"/>
        <w:rPr>
          <w:rFonts w:hint="eastAsia" w:ascii="仿宋" w:hAnsi="仿宋" w:eastAsia="仿宋" w:cs="宋体"/>
          <w:b/>
          <w:bCs/>
          <w:szCs w:val="21"/>
        </w:rPr>
      </w:pPr>
    </w:p>
    <w:p>
      <w:pPr>
        <w:wordWrap w:val="0"/>
        <w:spacing w:line="360" w:lineRule="auto"/>
        <w:ind w:right="140"/>
        <w:jc w:val="center"/>
        <w:rPr>
          <w:rFonts w:hint="eastAsia" w:ascii="仿宋" w:hAnsi="仿宋" w:eastAsia="仿宋" w:cs="宋体"/>
          <w:b/>
          <w:bCs/>
          <w:szCs w:val="21"/>
        </w:rPr>
      </w:pPr>
    </w:p>
    <w:p>
      <w:pPr>
        <w:wordWrap w:val="0"/>
        <w:spacing w:line="360" w:lineRule="auto"/>
        <w:ind w:right="140"/>
        <w:jc w:val="center"/>
        <w:rPr>
          <w:rFonts w:hint="eastAsia" w:ascii="仿宋" w:hAnsi="仿宋" w:eastAsia="仿宋" w:cs="宋体"/>
          <w:b/>
          <w:bCs/>
          <w:szCs w:val="21"/>
        </w:rPr>
      </w:pPr>
    </w:p>
    <w:p>
      <w:pPr>
        <w:wordWrap w:val="0"/>
        <w:spacing w:line="360" w:lineRule="auto"/>
        <w:ind w:right="140"/>
        <w:jc w:val="center"/>
        <w:rPr>
          <w:rFonts w:hint="eastAsia" w:ascii="仿宋" w:hAnsi="仿宋" w:eastAsia="仿宋" w:cs="宋体"/>
          <w:b/>
          <w:bCs/>
          <w:szCs w:val="21"/>
        </w:rPr>
      </w:pPr>
    </w:p>
    <w:p>
      <w:pPr>
        <w:wordWrap w:val="0"/>
        <w:spacing w:line="360" w:lineRule="auto"/>
        <w:ind w:right="140"/>
        <w:jc w:val="center"/>
        <w:rPr>
          <w:rFonts w:hint="eastAsia" w:ascii="仿宋" w:hAnsi="仿宋" w:eastAsia="仿宋" w:cs="宋体"/>
          <w:b/>
          <w:bCs/>
          <w:szCs w:val="21"/>
        </w:rPr>
      </w:pPr>
    </w:p>
    <w:p>
      <w:pPr>
        <w:wordWrap w:val="0"/>
        <w:spacing w:line="360" w:lineRule="auto"/>
        <w:ind w:right="140"/>
        <w:jc w:val="center"/>
        <w:rPr>
          <w:rFonts w:hint="eastAsia" w:ascii="仿宋" w:hAnsi="仿宋" w:eastAsia="仿宋" w:cs="宋体"/>
          <w:b/>
          <w:bCs/>
          <w:szCs w:val="21"/>
        </w:rPr>
      </w:pPr>
    </w:p>
    <w:p>
      <w:pPr>
        <w:wordWrap w:val="0"/>
        <w:spacing w:line="360" w:lineRule="auto"/>
        <w:ind w:right="140"/>
        <w:jc w:val="center"/>
        <w:rPr>
          <w:rFonts w:hint="eastAsia" w:ascii="仿宋" w:hAnsi="仿宋" w:eastAsia="仿宋" w:cs="宋体"/>
          <w:b/>
          <w:bCs/>
          <w:szCs w:val="21"/>
        </w:rPr>
      </w:pPr>
    </w:p>
    <w:p>
      <w:pPr>
        <w:wordWrap w:val="0"/>
        <w:spacing w:line="360" w:lineRule="auto"/>
        <w:ind w:right="140"/>
        <w:jc w:val="center"/>
        <w:rPr>
          <w:rFonts w:hint="eastAsia" w:ascii="仿宋" w:hAnsi="仿宋" w:eastAsia="仿宋" w:cs="宋体"/>
          <w:b/>
          <w:bCs/>
          <w:szCs w:val="21"/>
        </w:rPr>
      </w:pPr>
    </w:p>
    <w:p>
      <w:pPr>
        <w:wordWrap w:val="0"/>
        <w:spacing w:line="360" w:lineRule="auto"/>
        <w:ind w:right="140"/>
        <w:jc w:val="center"/>
        <w:rPr>
          <w:rFonts w:ascii="仿宋" w:hAnsi="仿宋" w:eastAsia="仿宋" w:cs="宋体"/>
          <w:b/>
          <w:bCs/>
          <w:szCs w:val="21"/>
        </w:rPr>
      </w:pPr>
      <w:r>
        <w:rPr>
          <w:rFonts w:hint="eastAsia" w:ascii="仿宋" w:hAnsi="仿宋" w:eastAsia="仿宋" w:cs="宋体"/>
          <w:b/>
          <w:bCs/>
          <w:szCs w:val="21"/>
        </w:rPr>
        <w:t>3、停车场现金交接表</w:t>
      </w:r>
    </w:p>
    <w:p>
      <w:pPr>
        <w:jc w:val="center"/>
        <w:outlineLvl w:val="0"/>
        <w:rPr>
          <w:rFonts w:ascii="仿宋" w:hAnsi="仿宋" w:eastAsia="仿宋" w:cs="宋体"/>
          <w:b/>
          <w:bCs/>
          <w:szCs w:val="21"/>
        </w:rPr>
      </w:pPr>
      <w:bookmarkStart w:id="56" w:name="_Toc98150616"/>
      <w:bookmarkStart w:id="57" w:name="_Toc4389"/>
      <w:bookmarkStart w:id="58" w:name="_Toc25731"/>
      <w:bookmarkStart w:id="59" w:name="_Toc30630"/>
      <w:r>
        <w:rPr>
          <w:rFonts w:hint="eastAsia" w:ascii="仿宋" w:hAnsi="仿宋" w:eastAsia="仿宋" w:cs="宋体"/>
          <w:b/>
          <w:szCs w:val="21"/>
        </w:rPr>
        <w:t>（停车场管理表格</w:t>
      </w:r>
      <w:r>
        <w:rPr>
          <w:rFonts w:hint="eastAsia" w:ascii="仿宋" w:hAnsi="仿宋" w:eastAsia="仿宋" w:cs="宋体"/>
          <w:b/>
          <w:bCs/>
          <w:szCs w:val="21"/>
        </w:rPr>
        <w:t>3）</w:t>
      </w:r>
      <w:bookmarkEnd w:id="56"/>
      <w:bookmarkEnd w:id="57"/>
      <w:bookmarkEnd w:id="58"/>
      <w:bookmarkEnd w:id="59"/>
    </w:p>
    <w:p>
      <w:pPr>
        <w:rPr>
          <w:rFonts w:ascii="仿宋" w:hAnsi="仿宋" w:eastAsia="仿宋" w:cs="宋体"/>
          <w:szCs w:val="21"/>
        </w:rPr>
      </w:pPr>
    </w:p>
    <w:p>
      <w:pPr>
        <w:rPr>
          <w:rFonts w:ascii="仿宋" w:hAnsi="仿宋" w:eastAsia="仿宋" w:cs="宋体"/>
          <w:szCs w:val="21"/>
        </w:rPr>
      </w:pPr>
      <w:r>
        <w:rPr>
          <w:rFonts w:hint="eastAsia" w:ascii="仿宋" w:hAnsi="仿宋" w:eastAsia="仿宋" w:cs="宋体"/>
          <w:szCs w:val="21"/>
        </w:rPr>
        <w:t>时间：</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980"/>
        <w:gridCol w:w="1980"/>
        <w:gridCol w:w="1875"/>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班次</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开始时间</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结束时间</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发票编号</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A</w:t>
            </w: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B</w:t>
            </w: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C</w:t>
            </w: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宋体"/>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bl>
    <w:p>
      <w:pPr>
        <w:rPr>
          <w:rFonts w:ascii="仿宋" w:hAnsi="仿宋" w:eastAsia="仿宋" w:cs="宋体"/>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1974"/>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当时车位收入</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c>
          <w:tcPr>
            <w:tcW w:w="37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bl>
    <w:p>
      <w:pPr>
        <w:rPr>
          <w:rFonts w:ascii="仿宋" w:hAnsi="仿宋" w:eastAsia="仿宋" w:cs="宋体"/>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3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固定车位收入（请注明）</w:t>
            </w:r>
          </w:p>
        </w:tc>
        <w:tc>
          <w:tcPr>
            <w:tcW w:w="382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bl>
    <w:p>
      <w:pPr>
        <w:rPr>
          <w:rFonts w:ascii="仿宋" w:hAnsi="仿宋" w:eastAsia="仿宋" w:cs="宋体"/>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3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1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本日收入（=存款单金额）</w:t>
            </w:r>
          </w:p>
        </w:tc>
        <w:tc>
          <w:tcPr>
            <w:tcW w:w="382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szCs w:val="21"/>
              </w:rPr>
            </w:pPr>
            <w:r>
              <w:rPr>
                <w:rFonts w:hint="eastAsia" w:ascii="仿宋" w:hAnsi="仿宋" w:eastAsia="仿宋" w:cs="宋体"/>
                <w:szCs w:val="21"/>
              </w:rPr>
              <w:t>=￥</w:t>
            </w:r>
          </w:p>
        </w:tc>
      </w:tr>
    </w:tbl>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r>
        <w:rPr>
          <w:rFonts w:hint="eastAsia" w:ascii="仿宋" w:hAnsi="仿宋" w:eastAsia="仿宋" w:cs="宋体"/>
          <w:szCs w:val="21"/>
        </w:rPr>
        <w:t>备注：</w:t>
      </w:r>
    </w:p>
    <w:p>
      <w:pPr>
        <w:rPr>
          <w:rFonts w:ascii="仿宋" w:hAnsi="仿宋" w:eastAsia="仿宋" w:cs="宋体"/>
          <w:szCs w:val="21"/>
        </w:rPr>
      </w:pPr>
    </w:p>
    <w:p>
      <w:pPr>
        <w:rPr>
          <w:rFonts w:ascii="仿宋" w:hAnsi="仿宋" w:eastAsia="仿宋" w:cs="宋体"/>
          <w:szCs w:val="21"/>
        </w:rPr>
      </w:pPr>
    </w:p>
    <w:p>
      <w:pPr>
        <w:spacing w:line="480" w:lineRule="auto"/>
        <w:rPr>
          <w:rFonts w:ascii="仿宋" w:hAnsi="仿宋" w:eastAsia="仿宋" w:cs="宋体"/>
          <w:szCs w:val="21"/>
        </w:rPr>
      </w:pPr>
      <w:r>
        <w:rPr>
          <w:rFonts w:hint="eastAsia" w:ascii="仿宋" w:hAnsi="仿宋" w:eastAsia="仿宋" w:cs="宋体"/>
          <w:szCs w:val="21"/>
        </w:rPr>
        <w:t>收费员签字：</w:t>
      </w:r>
    </w:p>
    <w:p>
      <w:pPr>
        <w:spacing w:line="480" w:lineRule="auto"/>
        <w:rPr>
          <w:rFonts w:ascii="仿宋" w:hAnsi="仿宋" w:eastAsia="仿宋" w:cs="宋体"/>
          <w:szCs w:val="21"/>
        </w:rPr>
      </w:pPr>
      <w:r>
        <w:rPr>
          <w:rFonts w:hint="eastAsia" w:ascii="仿宋" w:hAnsi="仿宋" w:eastAsia="仿宋" w:cs="宋体"/>
          <w:szCs w:val="21"/>
        </w:rPr>
        <w:t>财务出纳签字：</w:t>
      </w:r>
    </w:p>
    <w:p>
      <w:pPr>
        <w:spacing w:line="480" w:lineRule="auto"/>
        <w:rPr>
          <w:rFonts w:ascii="仿宋" w:hAnsi="仿宋" w:eastAsia="仿宋" w:cs="宋体"/>
          <w:szCs w:val="21"/>
        </w:rPr>
      </w:pPr>
      <w:r>
        <w:rPr>
          <w:rFonts w:hint="eastAsia" w:ascii="仿宋" w:hAnsi="仿宋" w:eastAsia="仿宋" w:cs="宋体"/>
          <w:szCs w:val="21"/>
        </w:rPr>
        <w:t>管理处主任签字：</w:t>
      </w:r>
    </w:p>
    <w:p>
      <w:pPr>
        <w:tabs>
          <w:tab w:val="left" w:pos="720"/>
        </w:tabs>
        <w:jc w:val="center"/>
        <w:rPr>
          <w:rFonts w:ascii="仿宋" w:hAnsi="仿宋" w:eastAsia="仿宋" w:cs="宋体"/>
          <w:b/>
          <w:szCs w:val="21"/>
        </w:rPr>
      </w:pPr>
      <w:r>
        <w:rPr>
          <w:rFonts w:hint="eastAsia" w:ascii="仿宋" w:hAnsi="仿宋" w:eastAsia="仿宋" w:cs="宋体"/>
          <w:szCs w:val="21"/>
        </w:rPr>
        <w:br w:type="page"/>
      </w:r>
      <w:r>
        <w:rPr>
          <w:rFonts w:hint="eastAsia" w:ascii="仿宋" w:hAnsi="仿宋" w:eastAsia="仿宋" w:cs="宋体"/>
          <w:szCs w:val="21"/>
        </w:rPr>
        <w:t>4、</w:t>
      </w:r>
      <w:r>
        <w:rPr>
          <w:rFonts w:hint="eastAsia" w:ascii="仿宋" w:hAnsi="仿宋" w:eastAsia="仿宋" w:cs="宋体"/>
          <w:b/>
          <w:szCs w:val="21"/>
        </w:rPr>
        <w:t>车辆出入登记表</w:t>
      </w:r>
    </w:p>
    <w:p>
      <w:pPr>
        <w:jc w:val="center"/>
        <w:rPr>
          <w:rFonts w:ascii="仿宋" w:hAnsi="仿宋" w:eastAsia="仿宋" w:cs="宋体"/>
          <w:b/>
          <w:bCs/>
          <w:szCs w:val="21"/>
        </w:rPr>
      </w:pPr>
      <w:r>
        <w:rPr>
          <w:rFonts w:hint="eastAsia" w:ascii="仿宋" w:hAnsi="仿宋" w:eastAsia="仿宋" w:cs="宋体"/>
          <w:b/>
          <w:szCs w:val="21"/>
        </w:rPr>
        <w:t>（停车场管理表格</w:t>
      </w:r>
      <w:r>
        <w:rPr>
          <w:rFonts w:hint="eastAsia" w:ascii="仿宋" w:hAnsi="仿宋" w:eastAsia="仿宋" w:cs="宋体"/>
          <w:b/>
          <w:bCs/>
          <w:szCs w:val="21"/>
        </w:rPr>
        <w:t>4）</w:t>
      </w:r>
    </w:p>
    <w:p>
      <w:pPr>
        <w:tabs>
          <w:tab w:val="left" w:pos="720"/>
        </w:tabs>
        <w:rPr>
          <w:rFonts w:ascii="仿宋" w:hAnsi="仿宋" w:eastAsia="仿宋" w:cs="宋体"/>
          <w:b/>
          <w:szCs w:val="21"/>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00"/>
        <w:gridCol w:w="1516"/>
        <w:gridCol w:w="600"/>
        <w:gridCol w:w="600"/>
        <w:gridCol w:w="1080"/>
        <w:gridCol w:w="1200"/>
        <w:gridCol w:w="252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日期</w:t>
            </w: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车型</w:t>
            </w: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车牌号码</w:t>
            </w:r>
          </w:p>
          <w:p>
            <w:pPr>
              <w:tabs>
                <w:tab w:val="left" w:pos="720"/>
              </w:tabs>
              <w:rPr>
                <w:rFonts w:ascii="仿宋" w:hAnsi="仿宋" w:eastAsia="仿宋" w:cs="宋体"/>
                <w:b/>
                <w:szCs w:val="21"/>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进/出时间</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收费</w:t>
            </w: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值班员</w:t>
            </w:r>
          </w:p>
          <w:p>
            <w:pPr>
              <w:tabs>
                <w:tab w:val="left" w:pos="720"/>
              </w:tabs>
              <w:jc w:val="center"/>
              <w:rPr>
                <w:rFonts w:ascii="仿宋" w:hAnsi="仿宋" w:eastAsia="仿宋" w:cs="宋体"/>
                <w:b/>
                <w:szCs w:val="21"/>
              </w:rPr>
            </w:pPr>
            <w:r>
              <w:rPr>
                <w:rFonts w:hint="eastAsia" w:ascii="仿宋" w:hAnsi="仿宋" w:eastAsia="仿宋" w:cs="宋体"/>
                <w:b/>
                <w:szCs w:val="21"/>
              </w:rPr>
              <w:t>签名</w:t>
            </w: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szCs w:val="21"/>
              </w:rPr>
              <w:t>车况（如有损坏应注明详细情况）</w:t>
            </w:r>
          </w:p>
        </w:tc>
        <w:tc>
          <w:tcPr>
            <w:tcW w:w="94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宋体"/>
                <w:b/>
                <w:szCs w:val="21"/>
              </w:rPr>
            </w:pPr>
            <w:r>
              <w:rPr>
                <w:rFonts w:hint="eastAsia" w:ascii="仿宋" w:hAnsi="仿宋" w:eastAsia="仿宋" w:cs="宋体"/>
                <w:b/>
                <w:szCs w:val="21"/>
              </w:rPr>
              <w:t>车主</w:t>
            </w:r>
          </w:p>
          <w:p>
            <w:pPr>
              <w:tabs>
                <w:tab w:val="left" w:pos="720"/>
              </w:tabs>
              <w:jc w:val="center"/>
              <w:rPr>
                <w:rFonts w:ascii="仿宋" w:hAnsi="仿宋" w:eastAsia="仿宋" w:cs="宋体"/>
                <w:b/>
                <w:szCs w:val="21"/>
              </w:rPr>
            </w:pPr>
            <w:r>
              <w:rPr>
                <w:rFonts w:hint="eastAsia" w:ascii="仿宋" w:hAnsi="仿宋" w:eastAsia="仿宋" w:cs="宋体"/>
                <w:b/>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pStyle w:val="12"/>
              <w:tabs>
                <w:tab w:val="left" w:pos="720"/>
              </w:tabs>
              <w:autoSpaceDE w:val="0"/>
              <w:autoSpaceDN w:val="0"/>
              <w:rPr>
                <w:rFonts w:ascii="仿宋" w:hAnsi="仿宋" w:eastAsia="仿宋" w:cs="宋体"/>
                <w:kern w:val="0"/>
                <w:sz w:val="21"/>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pStyle w:val="12"/>
              <w:tabs>
                <w:tab w:val="left" w:pos="720"/>
              </w:tabs>
              <w:autoSpaceDE w:val="0"/>
              <w:autoSpaceDN w:val="0"/>
              <w:rPr>
                <w:rFonts w:ascii="仿宋" w:hAnsi="仿宋" w:eastAsia="仿宋" w:cs="宋体"/>
                <w:kern w:val="0"/>
                <w:sz w:val="21"/>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2"/>
              <w:tabs>
                <w:tab w:val="left" w:pos="720"/>
              </w:tabs>
              <w:autoSpaceDE w:val="0"/>
              <w:autoSpaceDN w:val="0"/>
              <w:rPr>
                <w:rFonts w:ascii="仿宋" w:hAnsi="仿宋" w:eastAsia="仿宋" w:cs="宋体"/>
                <w:kern w:val="0"/>
                <w:sz w:val="21"/>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pStyle w:val="12"/>
              <w:tabs>
                <w:tab w:val="left" w:pos="720"/>
              </w:tabs>
              <w:autoSpaceDE w:val="0"/>
              <w:autoSpaceDN w:val="0"/>
              <w:rPr>
                <w:rFonts w:ascii="仿宋" w:hAnsi="仿宋" w:eastAsia="仿宋" w:cs="宋体"/>
                <w:kern w:val="0"/>
                <w:sz w:val="21"/>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pStyle w:val="12"/>
              <w:rPr>
                <w:rFonts w:ascii="仿宋" w:hAnsi="仿宋" w:eastAsia="仿宋" w:cs="宋体"/>
                <w:sz w:val="21"/>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2529"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c>
          <w:tcPr>
            <w:tcW w:w="94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rPr>
                <w:rFonts w:ascii="仿宋" w:hAnsi="仿宋" w:eastAsia="仿宋" w:cs="宋体"/>
                <w:szCs w:val="21"/>
              </w:rPr>
            </w:pPr>
          </w:p>
        </w:tc>
      </w:tr>
    </w:tbl>
    <w:p>
      <w:pPr>
        <w:jc w:val="center"/>
        <w:rPr>
          <w:rFonts w:ascii="仿宋" w:hAnsi="仿宋" w:eastAsia="仿宋" w:cs="宋体"/>
          <w:b/>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hint="eastAsia" w:ascii="仿宋" w:hAnsi="仿宋" w:eastAsia="仿宋" w:cs="宋体"/>
          <w:szCs w:val="21"/>
        </w:rPr>
      </w:pPr>
    </w:p>
    <w:p>
      <w:pPr>
        <w:tabs>
          <w:tab w:val="left" w:pos="720"/>
        </w:tabs>
        <w:jc w:val="center"/>
        <w:rPr>
          <w:rFonts w:ascii="仿宋" w:hAnsi="仿宋" w:eastAsia="仿宋" w:cs="宋体"/>
          <w:b/>
          <w:szCs w:val="21"/>
        </w:rPr>
      </w:pPr>
      <w:r>
        <w:rPr>
          <w:rFonts w:hint="eastAsia" w:ascii="仿宋" w:hAnsi="仿宋" w:eastAsia="仿宋" w:cs="宋体"/>
          <w:szCs w:val="21"/>
        </w:rPr>
        <w:t>5、</w:t>
      </w:r>
      <w:r>
        <w:rPr>
          <w:rFonts w:hint="eastAsia" w:ascii="仿宋" w:hAnsi="仿宋" w:eastAsia="仿宋" w:cs="宋体"/>
          <w:b/>
          <w:szCs w:val="21"/>
        </w:rPr>
        <w:t>车辆管理设备、设施清单</w:t>
      </w:r>
    </w:p>
    <w:p>
      <w:pPr>
        <w:tabs>
          <w:tab w:val="left" w:pos="720"/>
        </w:tabs>
        <w:jc w:val="center"/>
        <w:rPr>
          <w:rFonts w:ascii="仿宋" w:hAnsi="仿宋" w:eastAsia="仿宋" w:cs="宋体"/>
          <w:b/>
          <w:szCs w:val="21"/>
          <w:u w:val="single"/>
        </w:rPr>
      </w:pPr>
      <w:r>
        <w:rPr>
          <w:rFonts w:hint="eastAsia" w:ascii="仿宋" w:hAnsi="仿宋" w:eastAsia="仿宋" w:cs="宋体"/>
          <w:b/>
          <w:szCs w:val="21"/>
        </w:rPr>
        <w:t>（停车场管理表格</w:t>
      </w:r>
      <w:r>
        <w:rPr>
          <w:rFonts w:hint="eastAsia" w:ascii="仿宋" w:hAnsi="仿宋" w:eastAsia="仿宋" w:cs="宋体"/>
          <w:b/>
          <w:bCs/>
          <w:szCs w:val="21"/>
        </w:rPr>
        <w:t>5）</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58"/>
        <w:gridCol w:w="1373"/>
        <w:gridCol w:w="1373"/>
        <w:gridCol w:w="1373"/>
        <w:gridCol w:w="1373"/>
        <w:gridCol w:w="1373"/>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序号</w:t>
            </w: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设备名称</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设备型号</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单位</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数量</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单价(元)</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金额(元)</w:t>
            </w: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r>
              <w:rPr>
                <w:rFonts w:hint="eastAsia" w:ascii="仿宋" w:hAnsi="仿宋" w:eastAsia="仿宋"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558"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c>
          <w:tcPr>
            <w:tcW w:w="1057" w:type="dxa"/>
            <w:tcBorders>
              <w:top w:val="single" w:color="auto" w:sz="4" w:space="0"/>
              <w:left w:val="single" w:color="auto" w:sz="4" w:space="0"/>
              <w:bottom w:val="single" w:color="auto" w:sz="4" w:space="0"/>
              <w:right w:val="single" w:color="auto" w:sz="4" w:space="0"/>
            </w:tcBorders>
            <w:shd w:val="clear" w:color="auto" w:fill="auto"/>
          </w:tcPr>
          <w:p>
            <w:pPr>
              <w:tabs>
                <w:tab w:val="left" w:pos="720"/>
              </w:tabs>
              <w:jc w:val="center"/>
              <w:rPr>
                <w:rFonts w:ascii="仿宋" w:hAnsi="仿宋" w:eastAsia="仿宋" w:cs="宋体"/>
                <w:b/>
                <w:szCs w:val="21"/>
              </w:rPr>
            </w:pPr>
          </w:p>
        </w:tc>
      </w:tr>
    </w:tbl>
    <w:p>
      <w:pPr>
        <w:pStyle w:val="2"/>
        <w:widowControl/>
        <w:spacing w:before="0" w:after="0" w:line="360" w:lineRule="auto"/>
        <w:ind w:left="0" w:leftChars="0"/>
        <w:jc w:val="center"/>
        <w:rPr>
          <w:rFonts w:ascii="仿宋" w:hAnsi="仿宋" w:eastAsia="仿宋" w:cs="宋体"/>
          <w:sz w:val="21"/>
          <w:szCs w:val="21"/>
        </w:rPr>
      </w:pPr>
      <w:r>
        <w:rPr>
          <w:rFonts w:hint="eastAsia" w:ascii="仿宋" w:hAnsi="仿宋" w:eastAsia="仿宋" w:cs="宋体"/>
          <w:sz w:val="21"/>
          <w:szCs w:val="21"/>
        </w:rPr>
        <w:br w:type="page"/>
      </w:r>
      <w:bookmarkStart w:id="60" w:name="_Toc98150617"/>
      <w:bookmarkStart w:id="61" w:name="_Toc1711"/>
      <w:bookmarkStart w:id="62" w:name="_Toc8731"/>
      <w:bookmarkStart w:id="63" w:name="_Toc11412"/>
      <w:r>
        <w:rPr>
          <w:rFonts w:hint="eastAsia" w:ascii="仿宋" w:hAnsi="仿宋" w:eastAsia="仿宋" w:cs="宋体"/>
          <w:sz w:val="21"/>
          <w:szCs w:val="21"/>
        </w:rPr>
        <w:t>6、交接班记录表</w:t>
      </w:r>
      <w:bookmarkEnd w:id="60"/>
      <w:bookmarkEnd w:id="61"/>
      <w:bookmarkEnd w:id="62"/>
      <w:bookmarkEnd w:id="63"/>
    </w:p>
    <w:p>
      <w:pPr>
        <w:spacing w:line="360" w:lineRule="auto"/>
        <w:jc w:val="center"/>
        <w:rPr>
          <w:rFonts w:ascii="仿宋" w:hAnsi="仿宋" w:eastAsia="仿宋" w:cs="宋体"/>
          <w:b/>
          <w:szCs w:val="21"/>
        </w:rPr>
      </w:pPr>
      <w:r>
        <w:rPr>
          <w:rFonts w:hint="eastAsia" w:ascii="仿宋" w:hAnsi="仿宋" w:eastAsia="仿宋" w:cs="宋体"/>
          <w:b/>
          <w:szCs w:val="21"/>
        </w:rPr>
        <w:t>(停车场管理表格6)</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0"/>
        <w:gridCol w:w="2520"/>
        <w:gridCol w:w="144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szCs w:val="21"/>
              </w:rPr>
            </w:pPr>
            <w:r>
              <w:rPr>
                <w:rFonts w:hint="eastAsia" w:ascii="仿宋" w:hAnsi="仿宋" w:eastAsia="仿宋" w:cs="宋体"/>
                <w:szCs w:val="21"/>
              </w:rPr>
              <w:t>交班人</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jc w:val="center"/>
              <w:rPr>
                <w:rFonts w:ascii="仿宋" w:hAnsi="仿宋" w:eastAsia="仿宋" w:cs="宋体"/>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szCs w:val="21"/>
              </w:rPr>
            </w:pPr>
            <w:r>
              <w:rPr>
                <w:rFonts w:hint="eastAsia" w:ascii="仿宋" w:hAnsi="仿宋" w:eastAsia="仿宋" w:cs="宋体"/>
                <w:szCs w:val="21"/>
              </w:rPr>
              <w:t>接班人</w:t>
            </w:r>
          </w:p>
        </w:tc>
        <w:tc>
          <w:tcPr>
            <w:tcW w:w="43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szCs w:val="21"/>
              </w:rPr>
            </w:pPr>
            <w:r>
              <w:rPr>
                <w:rFonts w:hint="eastAsia" w:ascii="仿宋" w:hAnsi="仿宋" w:eastAsia="仿宋" w:cs="宋体"/>
                <w:szCs w:val="21"/>
              </w:rPr>
              <w:t>交接时间</w:t>
            </w:r>
          </w:p>
        </w:tc>
        <w:tc>
          <w:tcPr>
            <w:tcW w:w="8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firstLine="1890" w:firstLineChars="900"/>
              <w:rPr>
                <w:rFonts w:ascii="仿宋" w:hAnsi="仿宋" w:eastAsia="仿宋" w:cs="宋体"/>
                <w:szCs w:val="21"/>
              </w:rPr>
            </w:pPr>
            <w:r>
              <w:rPr>
                <w:rFonts w:hint="eastAsia" w:ascii="仿宋" w:hAnsi="仿宋" w:eastAsia="仿宋" w:cs="宋体"/>
                <w:szCs w:val="21"/>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szCs w:val="21"/>
              </w:rPr>
            </w:pPr>
            <w:r>
              <w:rPr>
                <w:rFonts w:hint="eastAsia" w:ascii="仿宋" w:hAnsi="仿宋" w:eastAsia="仿宋" w:cs="宋体"/>
                <w:szCs w:val="21"/>
              </w:rPr>
              <w:t>检查人</w:t>
            </w:r>
          </w:p>
        </w:tc>
        <w:tc>
          <w:tcPr>
            <w:tcW w:w="8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jc w:val="center"/>
              <w:rPr>
                <w:rFonts w:ascii="仿宋" w:hAnsi="仿宋" w:eastAsia="仿宋" w:cs="宋体"/>
                <w:szCs w:val="21"/>
              </w:rPr>
            </w:pPr>
            <w:r>
              <w:rPr>
                <w:rFonts w:hint="eastAsia" w:ascii="仿宋" w:hAnsi="仿宋" w:eastAsia="仿宋" w:cs="宋体"/>
                <w:szCs w:val="21"/>
              </w:rPr>
              <w:t>运 行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3" w:hRule="atLeast"/>
          <w:jc w:val="center"/>
        </w:trPr>
        <w:tc>
          <w:tcPr>
            <w:tcW w:w="9840" w:type="dxa"/>
            <w:gridSpan w:val="5"/>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仿宋" w:hAnsi="仿宋" w:eastAsia="仿宋" w:cs="宋体"/>
                <w:szCs w:val="21"/>
              </w:rPr>
            </w:pPr>
            <w:r>
              <w:rPr>
                <w:rFonts w:hint="eastAsia" w:ascii="仿宋" w:hAnsi="仿宋" w:eastAsia="仿宋" w:cs="宋体"/>
                <w:szCs w:val="21"/>
              </w:rPr>
              <w:t>上班工作跟进情况记录：</w:t>
            </w:r>
          </w:p>
          <w:p>
            <w:pPr>
              <w:spacing w:line="360" w:lineRule="exact"/>
              <w:ind w:left="359" w:leftChars="171"/>
              <w:rPr>
                <w:rFonts w:ascii="仿宋" w:hAnsi="仿宋" w:eastAsia="仿宋" w:cs="宋体"/>
                <w:szCs w:val="21"/>
              </w:rPr>
            </w:pPr>
          </w:p>
          <w:p>
            <w:pPr>
              <w:spacing w:line="360" w:lineRule="exact"/>
              <w:ind w:left="359" w:leftChars="171"/>
              <w:rPr>
                <w:rFonts w:ascii="仿宋" w:hAnsi="仿宋" w:eastAsia="仿宋" w:cs="宋体"/>
                <w:szCs w:val="21"/>
              </w:rPr>
            </w:pPr>
          </w:p>
          <w:p>
            <w:pPr>
              <w:spacing w:line="360" w:lineRule="exact"/>
              <w:rPr>
                <w:rFonts w:ascii="仿宋" w:hAnsi="仿宋" w:eastAsia="仿宋" w:cs="宋体"/>
                <w:szCs w:val="21"/>
              </w:rPr>
            </w:pPr>
            <w:r>
              <w:rPr>
                <w:rFonts w:hint="eastAsia" w:ascii="仿宋" w:hAnsi="仿宋" w:eastAsia="仿宋" w:cs="宋体"/>
                <w:szCs w:val="21"/>
              </w:rPr>
              <w:t>本班工作情况记录：</w:t>
            </w:r>
          </w:p>
          <w:p>
            <w:pPr>
              <w:spacing w:line="360" w:lineRule="exact"/>
              <w:ind w:left="359" w:leftChars="171"/>
              <w:rPr>
                <w:rFonts w:ascii="仿宋" w:hAnsi="仿宋" w:eastAsia="仿宋" w:cs="宋体"/>
                <w:szCs w:val="21"/>
              </w:rPr>
            </w:pPr>
          </w:p>
          <w:p>
            <w:pPr>
              <w:spacing w:line="360" w:lineRule="exact"/>
              <w:ind w:left="359" w:leftChars="171"/>
              <w:rPr>
                <w:rFonts w:ascii="仿宋" w:hAnsi="仿宋" w:eastAsia="仿宋" w:cs="宋体"/>
                <w:szCs w:val="21"/>
              </w:rPr>
            </w:pPr>
          </w:p>
          <w:p>
            <w:pPr>
              <w:spacing w:line="360" w:lineRule="exact"/>
              <w:rPr>
                <w:rFonts w:ascii="仿宋" w:hAnsi="仿宋" w:eastAsia="仿宋" w:cs="宋体"/>
                <w:szCs w:val="21"/>
              </w:rPr>
            </w:pPr>
            <w:r>
              <w:rPr>
                <w:rFonts w:hint="eastAsia" w:ascii="仿宋" w:hAnsi="仿宋" w:eastAsia="仿宋" w:cs="宋体"/>
                <w:szCs w:val="21"/>
              </w:rPr>
              <w:t>需跟进工作情况记录：</w:t>
            </w:r>
          </w:p>
          <w:p>
            <w:pPr>
              <w:spacing w:line="360" w:lineRule="exact"/>
              <w:ind w:left="359" w:leftChars="171"/>
              <w:rPr>
                <w:rFonts w:ascii="仿宋" w:hAnsi="仿宋" w:eastAsia="仿宋" w:cs="宋体"/>
                <w:szCs w:val="21"/>
              </w:rPr>
            </w:pPr>
          </w:p>
          <w:p>
            <w:pPr>
              <w:spacing w:line="360" w:lineRule="exact"/>
              <w:ind w:left="359" w:leftChars="171"/>
              <w:rPr>
                <w:rFonts w:ascii="仿宋" w:hAnsi="仿宋" w:eastAsia="仿宋" w:cs="宋体"/>
                <w:szCs w:val="21"/>
              </w:rPr>
            </w:pPr>
          </w:p>
          <w:p>
            <w:pPr>
              <w:spacing w:line="360" w:lineRule="exact"/>
              <w:rPr>
                <w:rFonts w:ascii="仿宋" w:hAnsi="仿宋" w:eastAsia="仿宋" w:cs="宋体"/>
                <w:szCs w:val="21"/>
              </w:rPr>
            </w:pPr>
            <w:r>
              <w:rPr>
                <w:rFonts w:hint="eastAsia" w:ascii="仿宋" w:hAnsi="仿宋" w:eastAsia="仿宋" w:cs="宋体"/>
                <w:szCs w:val="21"/>
              </w:rPr>
              <w:t>物品移交：</w:t>
            </w:r>
          </w:p>
          <w:p>
            <w:pPr>
              <w:spacing w:line="360" w:lineRule="exact"/>
              <w:ind w:left="359" w:leftChars="171"/>
              <w:rPr>
                <w:rFonts w:ascii="仿宋" w:hAnsi="仿宋" w:eastAsia="仿宋"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10" w:leftChars="5"/>
              <w:rPr>
                <w:rFonts w:ascii="仿宋" w:hAnsi="仿宋" w:eastAsia="仿宋" w:cs="宋体"/>
                <w:szCs w:val="21"/>
              </w:rPr>
            </w:pPr>
            <w:r>
              <w:rPr>
                <w:rFonts w:hint="eastAsia" w:ascii="仿宋" w:hAnsi="仿宋" w:eastAsia="仿宋" w:cs="宋体"/>
                <w:szCs w:val="21"/>
              </w:rPr>
              <w:t>车场负责人：</w:t>
            </w:r>
          </w:p>
        </w:tc>
        <w:tc>
          <w:tcPr>
            <w:tcW w:w="84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10" w:leftChars="5"/>
              <w:rPr>
                <w:rFonts w:ascii="仿宋" w:hAnsi="仿宋" w:eastAsia="仿宋" w:cs="宋体"/>
                <w:szCs w:val="21"/>
              </w:rPr>
            </w:pPr>
            <w:r>
              <w:rPr>
                <w:rFonts w:hint="eastAsia" w:ascii="仿宋" w:hAnsi="仿宋" w:eastAsia="仿宋" w:cs="宋体"/>
                <w:szCs w:val="21"/>
              </w:rPr>
              <w:t>备注</w:t>
            </w:r>
          </w:p>
        </w:tc>
        <w:tc>
          <w:tcPr>
            <w:tcW w:w="84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59" w:leftChars="171"/>
              <w:jc w:val="center"/>
              <w:rPr>
                <w:rFonts w:ascii="仿宋" w:hAnsi="仿宋" w:eastAsia="仿宋" w:cs="宋体"/>
                <w:szCs w:val="21"/>
              </w:rPr>
            </w:pPr>
          </w:p>
        </w:tc>
      </w:tr>
    </w:tbl>
    <w:p>
      <w:pPr>
        <w:tabs>
          <w:tab w:val="left" w:pos="720"/>
        </w:tabs>
        <w:ind w:left="359" w:leftChars="171"/>
        <w:rPr>
          <w:rFonts w:ascii="仿宋" w:hAnsi="仿宋" w:eastAsia="仿宋" w:cs="宋体"/>
          <w:szCs w:val="21"/>
        </w:rPr>
      </w:pPr>
    </w:p>
    <w:p>
      <w:pPr>
        <w:spacing w:line="480" w:lineRule="auto"/>
        <w:rPr>
          <w:rFonts w:ascii="仿宋" w:hAnsi="仿宋" w:eastAsia="仿宋" w:cs="宋体"/>
          <w:szCs w:val="21"/>
        </w:rPr>
      </w:pPr>
    </w:p>
    <w:tbl>
      <w:tblPr>
        <w:tblStyle w:val="13"/>
        <w:tblW w:w="9835" w:type="dxa"/>
        <w:tblInd w:w="-634" w:type="dxa"/>
        <w:tblLayout w:type="fixed"/>
        <w:tblCellMar>
          <w:top w:w="0" w:type="dxa"/>
          <w:left w:w="108" w:type="dxa"/>
          <w:bottom w:w="0" w:type="dxa"/>
          <w:right w:w="108" w:type="dxa"/>
        </w:tblCellMar>
      </w:tblPr>
      <w:tblGrid>
        <w:gridCol w:w="650"/>
        <w:gridCol w:w="750"/>
        <w:gridCol w:w="767"/>
        <w:gridCol w:w="1233"/>
        <w:gridCol w:w="1180"/>
        <w:gridCol w:w="846"/>
        <w:gridCol w:w="851"/>
        <w:gridCol w:w="857"/>
        <w:gridCol w:w="528"/>
        <w:gridCol w:w="788"/>
        <w:gridCol w:w="834"/>
        <w:gridCol w:w="551"/>
      </w:tblGrid>
      <w:tr>
        <w:tblPrEx>
          <w:tblCellMar>
            <w:top w:w="0" w:type="dxa"/>
            <w:left w:w="108" w:type="dxa"/>
            <w:bottom w:w="0" w:type="dxa"/>
            <w:right w:w="108" w:type="dxa"/>
          </w:tblCellMar>
        </w:tblPrEx>
        <w:trPr>
          <w:trHeight w:val="630" w:hRule="atLeast"/>
        </w:trPr>
        <w:tc>
          <w:tcPr>
            <w:tcW w:w="9835"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632" w:firstLineChars="300"/>
              <w:rPr>
                <w:rFonts w:ascii="仿宋" w:hAnsi="仿宋" w:eastAsia="仿宋" w:cs="宋体"/>
                <w:color w:val="000000"/>
                <w:szCs w:val="21"/>
              </w:rPr>
            </w:pPr>
            <w:r>
              <w:rPr>
                <w:rFonts w:hint="eastAsia" w:ascii="仿宋" w:hAnsi="仿宋" w:eastAsia="仿宋" w:cs="宋体"/>
                <w:b/>
                <w:bCs/>
                <w:color w:val="000000"/>
                <w:kern w:val="0"/>
                <w:szCs w:val="21"/>
              </w:rPr>
              <w:t>停车场岗位现金发票交接记录表</w:t>
            </w:r>
          </w:p>
        </w:tc>
      </w:tr>
      <w:tr>
        <w:tblPrEx>
          <w:tblCellMar>
            <w:top w:w="0" w:type="dxa"/>
            <w:left w:w="108" w:type="dxa"/>
            <w:bottom w:w="0" w:type="dxa"/>
            <w:right w:w="108" w:type="dxa"/>
          </w:tblCellMar>
        </w:tblPrEx>
        <w:trPr>
          <w:trHeight w:val="630" w:hRule="atLeast"/>
        </w:trPr>
        <w:tc>
          <w:tcPr>
            <w:tcW w:w="14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auto"/>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项目：</w:t>
            </w:r>
          </w:p>
        </w:tc>
        <w:tc>
          <w:tcPr>
            <w:tcW w:w="573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80" w:lineRule="auto"/>
              <w:jc w:val="center"/>
              <w:rPr>
                <w:rFonts w:ascii="仿宋" w:hAnsi="仿宋" w:eastAsia="仿宋" w:cs="宋体"/>
                <w:color w:val="000000"/>
                <w:szCs w:val="21"/>
              </w:rPr>
            </w:pPr>
          </w:p>
        </w:tc>
        <w:tc>
          <w:tcPr>
            <w:tcW w:w="1316"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80" w:lineRule="auto"/>
              <w:jc w:val="center"/>
              <w:rPr>
                <w:rFonts w:ascii="仿宋" w:hAnsi="仿宋" w:eastAsia="仿宋" w:cs="宋体"/>
                <w:color w:val="000000"/>
                <w:szCs w:val="21"/>
              </w:rPr>
            </w:pPr>
            <w:r>
              <w:rPr>
                <w:rFonts w:hint="eastAsia" w:ascii="仿宋" w:hAnsi="仿宋" w:eastAsia="仿宋" w:cs="宋体"/>
                <w:color w:val="000000"/>
                <w:kern w:val="0"/>
                <w:szCs w:val="21"/>
              </w:rPr>
              <w:t>岗位：</w:t>
            </w:r>
          </w:p>
        </w:tc>
        <w:tc>
          <w:tcPr>
            <w:tcW w:w="13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80" w:lineRule="auto"/>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660" w:hRule="atLeast"/>
        </w:trPr>
        <w:tc>
          <w:tcPr>
            <w:tcW w:w="6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序号</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当班日期</w:t>
            </w:r>
          </w:p>
        </w:tc>
        <w:tc>
          <w:tcPr>
            <w:tcW w:w="76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班次</w:t>
            </w:r>
          </w:p>
        </w:tc>
        <w:tc>
          <w:tcPr>
            <w:tcW w:w="123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发票面值</w:t>
            </w:r>
          </w:p>
        </w:tc>
        <w:tc>
          <w:tcPr>
            <w:tcW w:w="11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当班已用发票号</w:t>
            </w:r>
          </w:p>
        </w:tc>
        <w:tc>
          <w:tcPr>
            <w:tcW w:w="84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使用张数</w:t>
            </w:r>
          </w:p>
        </w:tc>
        <w:tc>
          <w:tcPr>
            <w:tcW w:w="85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金额</w:t>
            </w:r>
          </w:p>
        </w:tc>
        <w:tc>
          <w:tcPr>
            <w:tcW w:w="85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备用金</w:t>
            </w:r>
          </w:p>
        </w:tc>
        <w:tc>
          <w:tcPr>
            <w:tcW w:w="52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费用合计</w:t>
            </w:r>
          </w:p>
        </w:tc>
        <w:tc>
          <w:tcPr>
            <w:tcW w:w="78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剩余发票号</w:t>
            </w:r>
          </w:p>
        </w:tc>
        <w:tc>
          <w:tcPr>
            <w:tcW w:w="83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交班人</w:t>
            </w:r>
          </w:p>
        </w:tc>
        <w:tc>
          <w:tcPr>
            <w:tcW w:w="55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接班人</w:t>
            </w:r>
          </w:p>
        </w:tc>
      </w:tr>
      <w:tr>
        <w:tblPrEx>
          <w:tblCellMar>
            <w:top w:w="0" w:type="dxa"/>
            <w:left w:w="108" w:type="dxa"/>
            <w:bottom w:w="0" w:type="dxa"/>
            <w:right w:w="108" w:type="dxa"/>
          </w:tblCellMar>
        </w:tblPrEx>
        <w:trPr>
          <w:trHeight w:val="49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10</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5</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1</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10</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5</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1</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10</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5</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1</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10</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5</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1</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10</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5</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r>
        <w:tblPrEx>
          <w:tblCellMar>
            <w:top w:w="0" w:type="dxa"/>
            <w:left w:w="108" w:type="dxa"/>
            <w:bottom w:w="0" w:type="dxa"/>
            <w:right w:w="108" w:type="dxa"/>
          </w:tblCellMar>
        </w:tblPrEx>
        <w:trPr>
          <w:trHeight w:val="49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Times New Roman"/>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Style w:val="27"/>
                <w:rFonts w:hint="eastAsia" w:ascii="仿宋" w:hAnsi="仿宋" w:eastAsia="仿宋" w:cs="宋体"/>
                <w:sz w:val="21"/>
                <w:szCs w:val="21"/>
              </w:rPr>
              <w:t>1</w:t>
            </w:r>
            <w:r>
              <w:rPr>
                <w:rStyle w:val="22"/>
                <w:rFonts w:ascii="仿宋" w:hAnsi="仿宋" w:eastAsia="仿宋"/>
                <w:sz w:val="21"/>
                <w:szCs w:val="21"/>
              </w:rPr>
              <w:t>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宋体"/>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rPr>
              <w:t>至</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Times New Roman"/>
                <w:szCs w:val="21"/>
              </w:rPr>
            </w:pPr>
          </w:p>
        </w:tc>
      </w:tr>
    </w:tbl>
    <w:p>
      <w:pPr>
        <w:spacing w:line="480" w:lineRule="auto"/>
        <w:rPr>
          <w:rFonts w:ascii="仿宋" w:hAnsi="仿宋" w:eastAsia="仿宋" w:cs="宋体"/>
          <w:szCs w:val="21"/>
        </w:rPr>
      </w:pPr>
    </w:p>
    <w:p>
      <w:pPr>
        <w:spacing w:line="360" w:lineRule="auto"/>
        <w:rPr>
          <w:rFonts w:ascii="仿宋" w:hAnsi="仿宋" w:eastAsia="仿宋" w:cs="宋体"/>
          <w:szCs w:val="21"/>
        </w:rPr>
        <w:sectPr>
          <w:pgSz w:w="11906" w:h="16838"/>
          <w:pgMar w:top="1440" w:right="2106" w:bottom="1440" w:left="1600" w:header="851" w:footer="992" w:gutter="0"/>
          <w:cols w:space="425" w:num="1"/>
          <w:docGrid w:type="lines" w:linePitch="312" w:charSpace="0"/>
        </w:sectPr>
      </w:pPr>
      <w:r>
        <w:rPr>
          <w:rFonts w:hint="eastAsia" w:ascii="仿宋" w:hAnsi="仿宋" w:eastAsia="仿宋" w:cs="宋体"/>
          <w:b/>
          <w:szCs w:val="21"/>
        </w:rPr>
        <w:br w:type="page"/>
      </w:r>
    </w:p>
    <w:p>
      <w:pPr>
        <w:pStyle w:val="2"/>
        <w:widowControl/>
        <w:ind w:left="0" w:leftChars="0" w:firstLine="2530" w:firstLineChars="1200"/>
        <w:jc w:val="both"/>
        <w:rPr>
          <w:rFonts w:ascii="仿宋" w:hAnsi="仿宋" w:eastAsia="仿宋" w:cs="宋体"/>
          <w:sz w:val="21"/>
          <w:szCs w:val="21"/>
        </w:rPr>
      </w:pPr>
      <w:bookmarkStart w:id="64" w:name="_Toc28132"/>
      <w:bookmarkStart w:id="65" w:name="_Toc24894"/>
      <w:bookmarkStart w:id="66" w:name="_Toc98150622"/>
      <w:bookmarkStart w:id="67" w:name="_Toc18547"/>
      <w:r>
        <w:rPr>
          <w:rFonts w:hint="eastAsia" w:ascii="仿宋" w:hAnsi="仿宋" w:eastAsia="仿宋" w:cs="宋体"/>
          <w:sz w:val="21"/>
          <w:szCs w:val="21"/>
        </w:rPr>
        <w:t>十、停车场使用守则（公示）</w:t>
      </w:r>
      <w:bookmarkEnd w:id="64"/>
      <w:bookmarkEnd w:id="65"/>
      <w:bookmarkEnd w:id="66"/>
      <w:bookmarkEnd w:id="67"/>
    </w:p>
    <w:p>
      <w:pPr>
        <w:spacing w:line="440" w:lineRule="exact"/>
        <w:ind w:firstLine="420" w:firstLineChars="200"/>
        <w:rPr>
          <w:rFonts w:ascii="仿宋" w:hAnsi="仿宋" w:eastAsia="仿宋" w:cs="宋体"/>
          <w:szCs w:val="21"/>
        </w:rPr>
      </w:pPr>
      <w:r>
        <w:rPr>
          <w:rFonts w:hint="eastAsia" w:ascii="仿宋" w:hAnsi="仿宋" w:eastAsia="仿宋" w:cs="宋体"/>
          <w:szCs w:val="21"/>
        </w:rPr>
        <w:t>为确保车场秩序良好及人员安全，凡驾车进入本车场的司乘人员必须严格遵守以下规定：</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凡进入停车场的车辆必须自觉接管理人员的检查，停放车辆时必须按指定的位置停放。</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严禁装载有易燃、易爆或剧毒危险物品的车辆进入车场，如违反规定擅自进入，发生事故，除承担全部经济损失外，并追究司乘人员的责任。</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本停车场收费只提供泊车车位，泊车后请自行锁好车辆，关好门窗。任何车辆或其附件和车内对象的遗失或损坏，无论任何原因本车场概不负责。</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本停车场的车位分为临时车位、月租车位及固定车位，并规定以一张泊车咭供固定一辆车使用。泊车时请自觉按指定位置分别停泊，不允许乱停乱泊。凡违法乱纪反规定、拒交车位使用费、强行乱停乱放、不听劝告和车辆，本车场将采限相应在措施，不排除将车辆扣起或拖离车场，并作严肃处理，相关费用由车主负责。</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停泊时临时车位车辆应从南门自动识别入闸，离场时先自觉交费，交费后15分钟内出闸，车辆离场。未缴足车位使用费者，管理者有权拒绝放行，直至所有车位使用费（含扣押期间的车位元使用费）全部付清方可离场。</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保持车场内清洁，不得在车场内清洗车辆，不得随意动用消防设施，不得在车辆内入油和维修车辆，不得在车场内弃置垃圾。</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爱护公物，车场内设施如有损坏，当事人需承担赔偿责任，如有故意冲卡，损坏收费器械设备或其它车辆内之设施，需按照物业服务中心要求之金额赔偿。</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本停车场内的车辆，无论任何原因，若有需要被拖走移动发生的损坏，本车辆概不对任何损失负责。</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 xml:space="preserve">驾车人仕必须遵守场内指示牌行车，确保车辆不得停泊在划定车位界线以外的任何地方，亦不得妨碍本停车场之出入口或任何通道。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凡在车场停放车辆的人员，有义务检举一切违法犯罪行为，共同把车场管理工作做好，如对本停车场管理人员之投诉，可向当值之车场主管提出，或书面通知物业服务中心。</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物业服务中心如有需要将随时增加或修改停车场之管理规则而不作另行通知。</w:t>
      </w:r>
    </w:p>
    <w:p>
      <w:pPr>
        <w:pStyle w:val="2"/>
        <w:widowControl/>
        <w:jc w:val="center"/>
        <w:rPr>
          <w:rFonts w:ascii="仿宋" w:hAnsi="仿宋" w:eastAsia="仿宋" w:cs="宋体"/>
          <w:sz w:val="21"/>
          <w:szCs w:val="21"/>
        </w:rPr>
      </w:pPr>
      <w:bookmarkStart w:id="68" w:name="_Toc32699"/>
      <w:bookmarkStart w:id="69" w:name="_Toc22799"/>
      <w:bookmarkStart w:id="70" w:name="_Toc9052"/>
      <w:bookmarkStart w:id="71" w:name="_Toc98150623"/>
    </w:p>
    <w:p>
      <w:pPr>
        <w:pStyle w:val="2"/>
        <w:widowControl/>
        <w:jc w:val="center"/>
        <w:rPr>
          <w:rFonts w:ascii="仿宋" w:hAnsi="仿宋" w:eastAsia="仿宋" w:cs="宋体"/>
          <w:sz w:val="21"/>
          <w:szCs w:val="21"/>
        </w:rPr>
      </w:pPr>
      <w:r>
        <w:rPr>
          <w:rFonts w:hint="eastAsia" w:ascii="仿宋" w:hAnsi="仿宋" w:eastAsia="仿宋" w:cs="宋体"/>
          <w:sz w:val="21"/>
          <w:szCs w:val="21"/>
        </w:rPr>
        <w:t>十一、停车场收费管理制度</w:t>
      </w:r>
      <w:bookmarkEnd w:id="68"/>
      <w:bookmarkEnd w:id="69"/>
      <w:bookmarkEnd w:id="70"/>
      <w:bookmarkEnd w:id="71"/>
    </w:p>
    <w:p>
      <w:pPr>
        <w:numPr>
          <w:ilvl w:val="0"/>
          <w:numId w:val="31"/>
        </w:numPr>
        <w:spacing w:line="440" w:lineRule="exact"/>
        <w:rPr>
          <w:rFonts w:ascii="仿宋" w:hAnsi="仿宋" w:eastAsia="仿宋" w:cs="宋体"/>
          <w:szCs w:val="21"/>
        </w:rPr>
      </w:pPr>
      <w:r>
        <w:rPr>
          <w:rFonts w:hint="eastAsia" w:ascii="仿宋" w:hAnsi="仿宋" w:eastAsia="仿宋" w:cs="宋体"/>
          <w:szCs w:val="21"/>
        </w:rPr>
        <w:t>目的：为规范停车场收费管理制度，加强管理力度，保证停车费及时、全额收取，不漏收、不错收，确保公司资金安全，特制定本制度。</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适用范围：本制度适用于停车场。</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职责：本部门员工按本工作岗位职责执行。</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停车场入场登记管理</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车辆入场时，由当班登记员对进入的每辆车辆分类进行车牌号台账登记，车辆类型分为小型车辆、大型车辆、特殊免费车辆（此类车辆包括当地政府车辆、本公司车辆等，也包括特殊情况下的免收车辆，以当时实际情况为准），按分类要求登记员必须建立三本台账进行分类登记，免收车辆必须在台账上注明免收原因。</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登记员在登记入场车辆车牌号时，必须做到及时、准确无误，字迹要工整，账面要清楚，便于交班时核对收费情况。</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停车场收费管理</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停车场收费标准：按照公示牌为准</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车辆入场时，由当班收费员对进入的每辆车辆分类进行收费，收费时点清收费金额，注意辨别假钞，按客户要求撕去停车发票，做到合理避税。</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按现金管理要求，收费员手上只留取300元（15张10元、30张5元）找补零钱，找补零钱在上班时统一领取。收费员手上收费金额达到100元（除去本留在手上的找补零钱），将收费款交由停车场主管统一保管，并签字确认交款人、交款金额，最后交班时由停车场主管、当班收费员共同清点当日收费款总额，再与登记员的当天台账进行核对，如发现款与账核对不一致的情况，分责任进行处罚，停车场主管负责已签收的收费款，当班收费员负责未交的收费款及本来手上的预留金300元，分析是哪边出现问题，就由哪边负责赔差额，在当月工资中扣除。</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停车场主管有责任督促当班收费员及时交款，当班收费员有义务做到及时交款，签字确认，起到相互监管的作用。</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各环节在收取现金时，做到认真清点金额、辨别假钞，收款人确认无误后，签字认可为准，如从中发现金额不符、有假钞的情况，由交款人负全部责任，照金额进行赔偿，在当月工资中扣除。</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停车场票据管理</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按需向公司财务领取停车发票，做到合理避税原因，及时将用完的票根交回财务。</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在领用发票和交回票根时，必须完善签字核对手续，做到有据可查。</w:t>
      </w:r>
      <w:r>
        <w:rPr>
          <w:rFonts w:hint="eastAsia" w:ascii="宋体" w:hAnsi="宋体" w:eastAsia="宋体" w:cs="宋体"/>
          <w:szCs w:val="21"/>
        </w:rPr>
        <w:t>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违规处理</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 xml:space="preserve">禁止任何形式的贪污和挪用收费款，一经发现确认，属于经济违法，一律严肃处理，按贪污、挪用金额的双倍赔偿，并立即开除处理；金额大的交由公安机关处理，公司并保留追诉权。              </w:t>
      </w:r>
    </w:p>
    <w:p>
      <w:pPr>
        <w:pStyle w:val="2"/>
        <w:widowControl/>
        <w:jc w:val="center"/>
        <w:rPr>
          <w:rFonts w:ascii="仿宋" w:hAnsi="仿宋" w:eastAsia="仿宋" w:cs="宋体"/>
          <w:sz w:val="21"/>
          <w:szCs w:val="21"/>
        </w:rPr>
      </w:pPr>
      <w:bookmarkStart w:id="72" w:name="_Toc15897"/>
      <w:bookmarkStart w:id="73" w:name="_Toc8034"/>
      <w:bookmarkStart w:id="74" w:name="_Toc14142"/>
      <w:bookmarkStart w:id="75" w:name="_Toc98150626"/>
      <w:r>
        <w:rPr>
          <w:rFonts w:hint="eastAsia" w:ascii="仿宋" w:hAnsi="仿宋" w:eastAsia="仿宋" w:cs="宋体"/>
          <w:sz w:val="21"/>
          <w:szCs w:val="21"/>
        </w:rPr>
        <w:t>十</w:t>
      </w:r>
      <w:r>
        <w:rPr>
          <w:rFonts w:hint="eastAsia" w:ascii="仿宋" w:hAnsi="仿宋" w:eastAsia="仿宋" w:cs="宋体"/>
          <w:sz w:val="21"/>
          <w:szCs w:val="21"/>
          <w:lang w:val="en-US" w:eastAsia="zh-CN"/>
        </w:rPr>
        <w:t>二</w:t>
      </w:r>
      <w:r>
        <w:rPr>
          <w:rFonts w:hint="eastAsia" w:ascii="仿宋" w:hAnsi="仿宋" w:eastAsia="仿宋" w:cs="宋体"/>
          <w:sz w:val="21"/>
          <w:szCs w:val="21"/>
        </w:rPr>
        <w:t>、车场职级权限及监管</w:t>
      </w:r>
      <w:bookmarkEnd w:id="72"/>
      <w:bookmarkEnd w:id="73"/>
      <w:bookmarkEnd w:id="74"/>
      <w:bookmarkEnd w:id="75"/>
    </w:p>
    <w:p>
      <w:pPr>
        <w:numPr>
          <w:ilvl w:val="0"/>
          <w:numId w:val="31"/>
        </w:numPr>
        <w:spacing w:line="440" w:lineRule="exact"/>
        <w:outlineLvl w:val="1"/>
        <w:rPr>
          <w:rFonts w:ascii="仿宋" w:hAnsi="仿宋" w:eastAsia="仿宋" w:cs="宋体"/>
          <w:szCs w:val="21"/>
        </w:rPr>
      </w:pPr>
      <w:bookmarkStart w:id="76" w:name="_Toc98150627"/>
      <w:r>
        <w:rPr>
          <w:rFonts w:hint="eastAsia" w:ascii="仿宋" w:hAnsi="仿宋" w:eastAsia="仿宋" w:cs="宋体"/>
          <w:szCs w:val="21"/>
        </w:rPr>
        <w:t>停车场主任职权</w:t>
      </w:r>
      <w:bookmarkEnd w:id="76"/>
    </w:p>
    <w:p>
      <w:pPr>
        <w:numPr>
          <w:ilvl w:val="0"/>
          <w:numId w:val="31"/>
        </w:numPr>
        <w:spacing w:line="440" w:lineRule="exact"/>
        <w:rPr>
          <w:rFonts w:ascii="仿宋" w:hAnsi="仿宋" w:eastAsia="仿宋" w:cs="宋体"/>
          <w:szCs w:val="21"/>
        </w:rPr>
      </w:pPr>
      <w:r>
        <w:rPr>
          <w:rFonts w:hint="eastAsia" w:ascii="仿宋" w:hAnsi="仿宋" w:eastAsia="仿宋" w:cs="宋体"/>
          <w:szCs w:val="21"/>
        </w:rPr>
        <w:t xml:space="preserve">车场主任直接受管理处总经理及保安经理之领导，按上级指示对车场工作进行监管，处理客人投诉及车场一般事务，并负责做月票。根据管理处给予的授权，可使用电脑系统中的主管级功能处理电脑收银机之有关项目，监管收费报帐，处理日常管理事务。掌管收银机锁匙及出入口闸机锁匙。    </w:t>
      </w:r>
    </w:p>
    <w:p>
      <w:pPr>
        <w:numPr>
          <w:ilvl w:val="0"/>
          <w:numId w:val="31"/>
        </w:numPr>
        <w:spacing w:line="440" w:lineRule="exact"/>
        <w:outlineLvl w:val="1"/>
        <w:rPr>
          <w:rFonts w:ascii="仿宋" w:hAnsi="仿宋" w:eastAsia="仿宋" w:cs="宋体"/>
          <w:szCs w:val="21"/>
        </w:rPr>
      </w:pPr>
      <w:bookmarkStart w:id="77" w:name="_Toc98150628"/>
      <w:r>
        <w:rPr>
          <w:rFonts w:hint="eastAsia" w:ascii="仿宋" w:hAnsi="仿宋" w:eastAsia="仿宋" w:cs="宋体"/>
          <w:szCs w:val="21"/>
        </w:rPr>
        <w:t>收银员职权</w:t>
      </w:r>
      <w:bookmarkEnd w:id="77"/>
    </w:p>
    <w:p>
      <w:pPr>
        <w:numPr>
          <w:ilvl w:val="0"/>
          <w:numId w:val="31"/>
        </w:numPr>
        <w:spacing w:line="440" w:lineRule="exact"/>
        <w:rPr>
          <w:rFonts w:ascii="仿宋" w:hAnsi="仿宋" w:eastAsia="仿宋" w:cs="宋体"/>
          <w:szCs w:val="21"/>
        </w:rPr>
      </w:pPr>
      <w:r>
        <w:rPr>
          <w:rFonts w:hint="eastAsia" w:ascii="仿宋" w:hAnsi="仿宋" w:eastAsia="仿宋" w:cs="宋体"/>
          <w:szCs w:val="21"/>
        </w:rPr>
        <w:t xml:space="preserve">监管闭路电视系统，按要求向泊车客人收取停车费，按正常程序逐班交接，可使用收银机及电脑系统操作员功能。 </w:t>
      </w:r>
    </w:p>
    <w:p>
      <w:pPr>
        <w:numPr>
          <w:ilvl w:val="0"/>
          <w:numId w:val="31"/>
        </w:numPr>
        <w:spacing w:line="440" w:lineRule="exact"/>
        <w:outlineLvl w:val="1"/>
        <w:rPr>
          <w:rFonts w:ascii="仿宋" w:hAnsi="仿宋" w:eastAsia="仿宋" w:cs="宋体"/>
          <w:szCs w:val="21"/>
        </w:rPr>
      </w:pPr>
      <w:bookmarkStart w:id="78" w:name="_Toc98150629"/>
      <w:r>
        <w:rPr>
          <w:rFonts w:hint="eastAsia" w:ascii="仿宋" w:hAnsi="仿宋" w:eastAsia="仿宋" w:cs="宋体"/>
          <w:szCs w:val="21"/>
        </w:rPr>
        <w:t>手动起闸的权限</w:t>
      </w:r>
      <w:bookmarkEnd w:id="78"/>
    </w:p>
    <w:p>
      <w:pPr>
        <w:numPr>
          <w:ilvl w:val="0"/>
          <w:numId w:val="31"/>
        </w:numPr>
        <w:spacing w:line="440" w:lineRule="exact"/>
        <w:rPr>
          <w:rFonts w:ascii="仿宋" w:hAnsi="仿宋" w:eastAsia="仿宋" w:cs="宋体"/>
          <w:szCs w:val="21"/>
        </w:rPr>
      </w:pPr>
      <w:r>
        <w:rPr>
          <w:rFonts w:hint="eastAsia" w:ascii="仿宋" w:hAnsi="仿宋" w:eastAsia="仿宋" w:cs="宋体"/>
          <w:szCs w:val="21"/>
        </w:rPr>
        <w:t xml:space="preserve">手动起闸只能在应付突发事件时使用（详见车场应急措施），使用手动起闸后应在记录本上记录起闸事由及起闸时间，并须保安员与收银员签名确认。  </w:t>
      </w:r>
    </w:p>
    <w:p>
      <w:pPr>
        <w:numPr>
          <w:ilvl w:val="0"/>
          <w:numId w:val="31"/>
        </w:numPr>
        <w:spacing w:line="440" w:lineRule="exact"/>
        <w:outlineLvl w:val="1"/>
        <w:rPr>
          <w:rFonts w:ascii="仿宋" w:hAnsi="仿宋" w:eastAsia="仿宋" w:cs="宋体"/>
          <w:szCs w:val="21"/>
        </w:rPr>
      </w:pPr>
      <w:bookmarkStart w:id="79" w:name="_Toc98150630"/>
      <w:r>
        <w:rPr>
          <w:rFonts w:hint="eastAsia" w:ascii="仿宋" w:hAnsi="仿宋" w:eastAsia="仿宋" w:cs="宋体"/>
          <w:szCs w:val="21"/>
        </w:rPr>
        <w:t>临时免费时钟票的监管</w:t>
      </w:r>
      <w:bookmarkEnd w:id="79"/>
    </w:p>
    <w:p>
      <w:pPr>
        <w:numPr>
          <w:ilvl w:val="0"/>
          <w:numId w:val="31"/>
        </w:numPr>
        <w:spacing w:line="440" w:lineRule="exact"/>
        <w:rPr>
          <w:rFonts w:ascii="仿宋" w:hAnsi="仿宋" w:eastAsia="仿宋" w:cs="宋体"/>
          <w:szCs w:val="21"/>
        </w:rPr>
      </w:pPr>
      <w:r>
        <w:rPr>
          <w:rFonts w:hint="eastAsia" w:ascii="仿宋" w:hAnsi="仿宋" w:eastAsia="仿宋" w:cs="宋体"/>
          <w:szCs w:val="21"/>
        </w:rPr>
        <w:t xml:space="preserve">临时免费时钟票必须有副总经理级以上人员的书面明确指示方能执行。由收款员操作，主任级以上人员在记录本上记录免费时钟票的资料（如车票号、电脑编号、起始时间等），并将上级书面指示附在记事本上，待财务部核数人员核查。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 xml:space="preserve">月票的监管 </w:t>
      </w:r>
    </w:p>
    <w:p>
      <w:pPr>
        <w:numPr>
          <w:ilvl w:val="0"/>
          <w:numId w:val="31"/>
        </w:numPr>
        <w:spacing w:line="440" w:lineRule="exact"/>
        <w:rPr>
          <w:rFonts w:ascii="仿宋" w:hAnsi="仿宋" w:eastAsia="仿宋" w:cs="宋体"/>
          <w:szCs w:val="21"/>
        </w:rPr>
      </w:pPr>
      <w:r>
        <w:rPr>
          <w:rFonts w:hint="eastAsia" w:ascii="仿宋" w:hAnsi="仿宋" w:eastAsia="仿宋" w:cs="宋体"/>
          <w:szCs w:val="21"/>
        </w:rPr>
        <w:t>月票由管理处根据业主发出之通知，按要求由停车场主任负责制作，所有月票卡及时钟卡由财务部保管，按实用数量发出，用完后收回废票</w:t>
      </w:r>
    </w:p>
    <w:p>
      <w:pPr>
        <w:rPr>
          <w:rFonts w:ascii="仿宋" w:hAnsi="仿宋" w:eastAsia="仿宋" w:cs="宋体"/>
          <w:szCs w:val="21"/>
        </w:rPr>
      </w:pPr>
      <w:bookmarkStart w:id="80" w:name="_Toc21785"/>
    </w:p>
    <w:p>
      <w:pPr>
        <w:spacing w:afterLines="100" w:line="360" w:lineRule="auto"/>
        <w:ind w:firstLine="422" w:firstLineChars="200"/>
        <w:jc w:val="center"/>
        <w:outlineLvl w:val="0"/>
        <w:rPr>
          <w:rFonts w:ascii="仿宋" w:hAnsi="仿宋" w:eastAsia="仿宋" w:cs="宋体"/>
          <w:b/>
          <w:szCs w:val="21"/>
        </w:rPr>
      </w:pPr>
      <w:bookmarkStart w:id="81" w:name="_Toc28367"/>
      <w:bookmarkStart w:id="82" w:name="_Toc20869"/>
      <w:bookmarkStart w:id="83" w:name="_Toc98150631"/>
    </w:p>
    <w:p>
      <w:pPr>
        <w:spacing w:afterLines="100" w:line="360" w:lineRule="auto"/>
        <w:ind w:firstLine="422" w:firstLineChars="200"/>
        <w:jc w:val="center"/>
        <w:outlineLvl w:val="0"/>
        <w:rPr>
          <w:rFonts w:ascii="仿宋" w:hAnsi="仿宋" w:eastAsia="仿宋" w:cs="宋体"/>
          <w:b/>
          <w:szCs w:val="21"/>
        </w:rPr>
      </w:pPr>
    </w:p>
    <w:p>
      <w:pPr>
        <w:spacing w:afterLines="100" w:line="360" w:lineRule="auto"/>
        <w:ind w:firstLine="422" w:firstLineChars="200"/>
        <w:jc w:val="center"/>
        <w:outlineLvl w:val="0"/>
        <w:rPr>
          <w:rFonts w:ascii="仿宋" w:hAnsi="仿宋" w:eastAsia="仿宋" w:cs="宋体"/>
          <w:b/>
          <w:szCs w:val="21"/>
        </w:rPr>
      </w:pPr>
    </w:p>
    <w:p>
      <w:pPr>
        <w:spacing w:afterLines="100" w:line="360" w:lineRule="auto"/>
        <w:ind w:firstLine="422" w:firstLineChars="200"/>
        <w:jc w:val="center"/>
        <w:outlineLvl w:val="0"/>
        <w:rPr>
          <w:rFonts w:ascii="仿宋" w:hAnsi="仿宋" w:eastAsia="仿宋" w:cs="宋体"/>
          <w:b/>
          <w:szCs w:val="21"/>
        </w:rPr>
      </w:pPr>
    </w:p>
    <w:p>
      <w:pPr>
        <w:spacing w:afterLines="100" w:line="360" w:lineRule="auto"/>
        <w:ind w:firstLine="422" w:firstLineChars="200"/>
        <w:jc w:val="center"/>
        <w:outlineLvl w:val="0"/>
        <w:rPr>
          <w:rFonts w:ascii="仿宋" w:hAnsi="仿宋" w:eastAsia="仿宋" w:cs="宋体"/>
          <w:b/>
          <w:szCs w:val="21"/>
        </w:rPr>
      </w:pPr>
      <w:r>
        <w:rPr>
          <w:rFonts w:hint="eastAsia" w:ascii="仿宋" w:hAnsi="仿宋" w:eastAsia="仿宋" w:cs="宋体"/>
          <w:b/>
          <w:szCs w:val="21"/>
        </w:rPr>
        <w:t>十</w:t>
      </w:r>
      <w:bookmarkEnd w:id="81"/>
      <w:bookmarkStart w:id="84" w:name="_Toc4062"/>
      <w:r>
        <w:rPr>
          <w:rFonts w:hint="eastAsia" w:ascii="仿宋" w:hAnsi="仿宋" w:eastAsia="仿宋" w:cs="宋体"/>
          <w:b/>
          <w:szCs w:val="21"/>
          <w:lang w:val="en-US" w:eastAsia="zh-CN"/>
        </w:rPr>
        <w:t>三</w:t>
      </w:r>
      <w:r>
        <w:rPr>
          <w:rFonts w:hint="eastAsia" w:ascii="仿宋" w:hAnsi="仿宋" w:eastAsia="仿宋" w:cs="宋体"/>
          <w:b/>
          <w:szCs w:val="21"/>
        </w:rPr>
        <w:t>、常用交通标识</w:t>
      </w:r>
      <w:bookmarkEnd w:id="80"/>
      <w:bookmarkEnd w:id="82"/>
      <w:bookmarkEnd w:id="83"/>
      <w:bookmarkEnd w:id="84"/>
    </w:p>
    <w:p>
      <w:pPr>
        <w:ind w:firstLine="843" w:firstLineChars="400"/>
        <w:jc w:val="center"/>
        <w:outlineLvl w:val="1"/>
        <w:rPr>
          <w:rFonts w:ascii="仿宋" w:hAnsi="仿宋" w:eastAsia="仿宋" w:cs="宋体"/>
          <w:b/>
          <w:bCs/>
          <w:szCs w:val="21"/>
        </w:rPr>
      </w:pPr>
      <w:bookmarkStart w:id="85" w:name="_Toc23310"/>
      <w:bookmarkStart w:id="86" w:name="_Toc98150632"/>
      <w:r>
        <w:rPr>
          <w:rFonts w:hint="eastAsia" w:ascii="仿宋" w:hAnsi="仿宋" w:eastAsia="仿宋" w:cs="宋体"/>
          <w:b/>
          <w:bCs/>
          <w:szCs w:val="21"/>
        </w:rPr>
        <w:t>1、警告标志</w:t>
      </w:r>
      <w:bookmarkEnd w:id="85"/>
      <w:bookmarkEnd w:id="86"/>
    </w:p>
    <w:tbl>
      <w:tblPr>
        <w:tblStyle w:val="13"/>
        <w:tblW w:w="0" w:type="auto"/>
        <w:jc w:val="center"/>
        <w:tblLayout w:type="fixed"/>
        <w:tblCellMar>
          <w:top w:w="0" w:type="dxa"/>
          <w:left w:w="108" w:type="dxa"/>
          <w:bottom w:w="0" w:type="dxa"/>
          <w:right w:w="108" w:type="dxa"/>
        </w:tblCellMar>
      </w:tblPr>
      <w:tblGrid>
        <w:gridCol w:w="2286"/>
        <w:gridCol w:w="2376"/>
        <w:gridCol w:w="2286"/>
      </w:tblGrid>
      <w:tr>
        <w:tblPrEx>
          <w:tblCellMar>
            <w:top w:w="0" w:type="dxa"/>
            <w:left w:w="108" w:type="dxa"/>
            <w:bottom w:w="0" w:type="dxa"/>
            <w:right w:w="108" w:type="dxa"/>
          </w:tblCellMar>
        </w:tblPrEx>
        <w:trPr>
          <w:trHeight w:val="2809" w:hRule="atLeast"/>
          <w:jc w:val="center"/>
        </w:trPr>
        <w:tc>
          <w:tcPr>
            <w:tcW w:w="2286" w:type="dxa"/>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181100" cy="1562100"/>
                  <wp:effectExtent l="0" t="0" r="0" b="0"/>
                  <wp:docPr id="5" name="图片 1" descr="慢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慢行"/>
                          <pic:cNvPicPr>
                            <a:picLocks noChangeAspect="1"/>
                          </pic:cNvPicPr>
                        </pic:nvPicPr>
                        <pic:blipFill>
                          <a:blip r:embed="rId6"/>
                          <a:stretch>
                            <a:fillRect/>
                          </a:stretch>
                        </pic:blipFill>
                        <pic:spPr>
                          <a:xfrm>
                            <a:off x="0" y="0"/>
                            <a:ext cx="1181100" cy="1562100"/>
                          </a:xfrm>
                          <a:prstGeom prst="rect">
                            <a:avLst/>
                          </a:prstGeom>
                          <a:noFill/>
                          <a:ln>
                            <a:noFill/>
                          </a:ln>
                        </pic:spPr>
                      </pic:pic>
                    </a:graphicData>
                  </a:graphic>
                </wp:inline>
              </w:drawing>
            </w:r>
          </w:p>
        </w:tc>
        <w:tc>
          <w:tcPr>
            <w:tcW w:w="2376" w:type="dxa"/>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314450" cy="1581150"/>
                  <wp:effectExtent l="0" t="0" r="0" b="0"/>
                  <wp:docPr id="6" name="图片 3" descr="上陡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上陡坡"/>
                          <pic:cNvPicPr>
                            <a:picLocks noChangeAspect="1"/>
                          </pic:cNvPicPr>
                        </pic:nvPicPr>
                        <pic:blipFill>
                          <a:blip r:embed="rId7"/>
                          <a:stretch>
                            <a:fillRect/>
                          </a:stretch>
                        </pic:blipFill>
                        <pic:spPr>
                          <a:xfrm>
                            <a:off x="0" y="0"/>
                            <a:ext cx="1314450" cy="1581150"/>
                          </a:xfrm>
                          <a:prstGeom prst="rect">
                            <a:avLst/>
                          </a:prstGeom>
                          <a:noFill/>
                          <a:ln>
                            <a:noFill/>
                          </a:ln>
                        </pic:spPr>
                      </pic:pic>
                    </a:graphicData>
                  </a:graphic>
                </wp:inline>
              </w:drawing>
            </w:r>
          </w:p>
        </w:tc>
        <w:tc>
          <w:tcPr>
            <w:tcW w:w="2286" w:type="dxa"/>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247775" cy="1581150"/>
                  <wp:effectExtent l="0" t="0" r="9525" b="0"/>
                  <wp:docPr id="7" name="图片 4" descr="下陡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下陡坡"/>
                          <pic:cNvPicPr>
                            <a:picLocks noChangeAspect="1"/>
                          </pic:cNvPicPr>
                        </pic:nvPicPr>
                        <pic:blipFill>
                          <a:blip r:embed="rId8"/>
                          <a:stretch>
                            <a:fillRect/>
                          </a:stretch>
                        </pic:blipFill>
                        <pic:spPr>
                          <a:xfrm>
                            <a:off x="0" y="0"/>
                            <a:ext cx="1247775" cy="1581150"/>
                          </a:xfrm>
                          <a:prstGeom prst="rect">
                            <a:avLst/>
                          </a:prstGeom>
                          <a:noFill/>
                          <a:ln>
                            <a:noFill/>
                          </a:ln>
                        </pic:spPr>
                      </pic:pic>
                    </a:graphicData>
                  </a:graphic>
                </wp:inline>
              </w:drawing>
            </w:r>
          </w:p>
        </w:tc>
      </w:tr>
      <w:tr>
        <w:tblPrEx>
          <w:tblCellMar>
            <w:top w:w="0" w:type="dxa"/>
            <w:left w:w="108" w:type="dxa"/>
            <w:bottom w:w="0" w:type="dxa"/>
            <w:right w:w="108" w:type="dxa"/>
          </w:tblCellMar>
        </w:tblPrEx>
        <w:trPr>
          <w:jc w:val="center"/>
        </w:trPr>
        <w:tc>
          <w:tcPr>
            <w:tcW w:w="2286" w:type="dxa"/>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314450" cy="1638300"/>
                  <wp:effectExtent l="0" t="0" r="0" b="0"/>
                  <wp:docPr id="8" name="图片 5" descr="注意行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注意行人"/>
                          <pic:cNvPicPr>
                            <a:picLocks noChangeAspect="1"/>
                          </pic:cNvPicPr>
                        </pic:nvPicPr>
                        <pic:blipFill>
                          <a:blip r:embed="rId9"/>
                          <a:stretch>
                            <a:fillRect/>
                          </a:stretch>
                        </pic:blipFill>
                        <pic:spPr>
                          <a:xfrm>
                            <a:off x="0" y="0"/>
                            <a:ext cx="1314450" cy="1638300"/>
                          </a:xfrm>
                          <a:prstGeom prst="rect">
                            <a:avLst/>
                          </a:prstGeom>
                          <a:noFill/>
                          <a:ln>
                            <a:noFill/>
                          </a:ln>
                        </pic:spPr>
                      </pic:pic>
                    </a:graphicData>
                  </a:graphic>
                </wp:inline>
              </w:drawing>
            </w:r>
          </w:p>
        </w:tc>
        <w:tc>
          <w:tcPr>
            <w:tcW w:w="2376" w:type="dxa"/>
            <w:shd w:val="clear" w:color="auto" w:fill="auto"/>
          </w:tcPr>
          <w:p>
            <w:pPr>
              <w:rPr>
                <w:rFonts w:ascii="仿宋" w:hAnsi="仿宋" w:eastAsia="仿宋" w:cs="宋体"/>
                <w:szCs w:val="21"/>
              </w:rPr>
            </w:pPr>
          </w:p>
        </w:tc>
        <w:tc>
          <w:tcPr>
            <w:tcW w:w="2286" w:type="dxa"/>
            <w:shd w:val="clear" w:color="auto" w:fill="auto"/>
          </w:tcPr>
          <w:p>
            <w:pPr>
              <w:rPr>
                <w:rFonts w:ascii="仿宋" w:hAnsi="仿宋" w:eastAsia="仿宋" w:cs="宋体"/>
                <w:szCs w:val="21"/>
              </w:rPr>
            </w:pPr>
          </w:p>
        </w:tc>
      </w:tr>
    </w:tbl>
    <w:p>
      <w:pPr>
        <w:ind w:left="600"/>
        <w:rPr>
          <w:rFonts w:ascii="仿宋" w:hAnsi="仿宋" w:eastAsia="仿宋" w:cs="宋体"/>
          <w:szCs w:val="21"/>
        </w:rPr>
      </w:pPr>
    </w:p>
    <w:p>
      <w:pPr>
        <w:ind w:left="600"/>
        <w:rPr>
          <w:rFonts w:ascii="仿宋" w:hAnsi="仿宋" w:eastAsia="仿宋" w:cs="宋体"/>
          <w:szCs w:val="21"/>
        </w:rPr>
      </w:pPr>
    </w:p>
    <w:p>
      <w:pPr>
        <w:ind w:firstLine="422" w:firstLineChars="200"/>
        <w:jc w:val="center"/>
        <w:outlineLvl w:val="1"/>
        <w:rPr>
          <w:rFonts w:ascii="仿宋" w:hAnsi="仿宋" w:eastAsia="仿宋" w:cs="宋体"/>
          <w:b/>
          <w:bCs/>
          <w:szCs w:val="21"/>
        </w:rPr>
      </w:pPr>
      <w:bookmarkStart w:id="87" w:name="_Toc22167"/>
      <w:bookmarkStart w:id="88" w:name="_Toc98150633"/>
      <w:r>
        <w:rPr>
          <w:rFonts w:hint="eastAsia" w:ascii="仿宋" w:hAnsi="仿宋" w:eastAsia="仿宋" w:cs="宋体"/>
          <w:b/>
          <w:bCs/>
          <w:szCs w:val="21"/>
        </w:rPr>
        <w:t>2、禁令标志</w:t>
      </w:r>
      <w:bookmarkEnd w:id="87"/>
      <w:bookmarkEnd w:id="88"/>
    </w:p>
    <w:p>
      <w:pPr>
        <w:ind w:left="1560"/>
        <w:rPr>
          <w:rFonts w:ascii="仿宋" w:hAnsi="仿宋" w:eastAsia="仿宋" w:cs="宋体"/>
          <w:b/>
          <w:bCs/>
          <w:szCs w:val="21"/>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2496"/>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jc w:val="center"/>
        </w:trPr>
        <w:tc>
          <w:tcPr>
            <w:tcW w:w="2451" w:type="dxa"/>
            <w:tcBorders>
              <w:top w:val="nil"/>
              <w:left w:val="nil"/>
              <w:bottom w:val="nil"/>
              <w:right w:val="nil"/>
            </w:tcBorders>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419225" cy="1543050"/>
                  <wp:effectExtent l="0" t="0" r="9525" b="0"/>
                  <wp:docPr id="9" name="图片 6" descr="机动车车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机动车车道"/>
                          <pic:cNvPicPr>
                            <a:picLocks noChangeAspect="1"/>
                          </pic:cNvPicPr>
                        </pic:nvPicPr>
                        <pic:blipFill>
                          <a:blip r:embed="rId10"/>
                          <a:stretch>
                            <a:fillRect/>
                          </a:stretch>
                        </pic:blipFill>
                        <pic:spPr>
                          <a:xfrm>
                            <a:off x="0" y="0"/>
                            <a:ext cx="1419225" cy="1543050"/>
                          </a:xfrm>
                          <a:prstGeom prst="rect">
                            <a:avLst/>
                          </a:prstGeom>
                          <a:noFill/>
                          <a:ln>
                            <a:noFill/>
                          </a:ln>
                        </pic:spPr>
                      </pic:pic>
                    </a:graphicData>
                  </a:graphic>
                </wp:inline>
              </w:drawing>
            </w:r>
          </w:p>
        </w:tc>
        <w:tc>
          <w:tcPr>
            <w:tcW w:w="2496" w:type="dxa"/>
            <w:tcBorders>
              <w:top w:val="nil"/>
              <w:left w:val="nil"/>
              <w:bottom w:val="nil"/>
              <w:right w:val="nil"/>
            </w:tcBorders>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447800" cy="1819275"/>
                  <wp:effectExtent l="0" t="0" r="0" b="9525"/>
                  <wp:docPr id="10" name="图片 7" descr="禁止通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禁止通行"/>
                          <pic:cNvPicPr>
                            <a:picLocks noChangeAspect="1"/>
                          </pic:cNvPicPr>
                        </pic:nvPicPr>
                        <pic:blipFill>
                          <a:blip r:embed="rId11"/>
                          <a:stretch>
                            <a:fillRect/>
                          </a:stretch>
                        </pic:blipFill>
                        <pic:spPr>
                          <a:xfrm>
                            <a:off x="0" y="0"/>
                            <a:ext cx="1447800" cy="1819275"/>
                          </a:xfrm>
                          <a:prstGeom prst="rect">
                            <a:avLst/>
                          </a:prstGeom>
                          <a:noFill/>
                          <a:ln>
                            <a:noFill/>
                          </a:ln>
                        </pic:spPr>
                      </pic:pic>
                    </a:graphicData>
                  </a:graphic>
                </wp:inline>
              </w:drawing>
            </w:r>
          </w:p>
        </w:tc>
        <w:tc>
          <w:tcPr>
            <w:tcW w:w="2496" w:type="dxa"/>
            <w:tcBorders>
              <w:top w:val="nil"/>
              <w:left w:val="nil"/>
              <w:bottom w:val="nil"/>
              <w:right w:val="nil"/>
            </w:tcBorders>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257300" cy="1781175"/>
                  <wp:effectExtent l="0" t="0" r="0" b="9525"/>
                  <wp:docPr id="12" name="图片 8" descr="禁止响喇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禁止响喇叭"/>
                          <pic:cNvPicPr>
                            <a:picLocks noChangeAspect="1"/>
                          </pic:cNvPicPr>
                        </pic:nvPicPr>
                        <pic:blipFill>
                          <a:blip r:embed="rId12"/>
                          <a:stretch>
                            <a:fillRect/>
                          </a:stretch>
                        </pic:blipFill>
                        <pic:spPr>
                          <a:xfrm>
                            <a:off x="0" y="0"/>
                            <a:ext cx="1257300" cy="1781175"/>
                          </a:xfrm>
                          <a:prstGeom prst="rect">
                            <a:avLst/>
                          </a:prstGeom>
                          <a:noFill/>
                          <a:ln>
                            <a:noFill/>
                          </a:ln>
                        </pic:spPr>
                      </pic:pic>
                    </a:graphicData>
                  </a:graphic>
                </wp:inline>
              </w:drawing>
            </w:r>
          </w:p>
        </w:tc>
      </w:tr>
    </w:tbl>
    <w:p>
      <w:pPr>
        <w:jc w:val="left"/>
        <w:rPr>
          <w:rFonts w:ascii="仿宋" w:hAnsi="仿宋" w:eastAsia="仿宋" w:cs="宋体"/>
          <w:szCs w:val="21"/>
        </w:rPr>
      </w:pPr>
    </w:p>
    <w:tbl>
      <w:tblPr>
        <w:tblStyle w:val="13"/>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2404"/>
        <w:gridCol w:w="2436"/>
        <w:gridCol w:w="2496"/>
      </w:tblGrid>
      <w:tr>
        <w:tblPrEx>
          <w:tblCellMar>
            <w:top w:w="0" w:type="dxa"/>
            <w:left w:w="108" w:type="dxa"/>
            <w:bottom w:w="0" w:type="dxa"/>
            <w:right w:w="108" w:type="dxa"/>
          </w:tblCellMar>
        </w:tblPrEx>
        <w:trPr>
          <w:trHeight w:val="3116" w:hRule="atLeast"/>
        </w:trPr>
        <w:tc>
          <w:tcPr>
            <w:tcW w:w="2404" w:type="dxa"/>
            <w:shd w:val="clear" w:color="auto" w:fill="auto"/>
          </w:tcPr>
          <w:p>
            <w:pPr>
              <w:rPr>
                <w:rFonts w:ascii="仿宋" w:hAnsi="仿宋" w:eastAsia="仿宋" w:cs="宋体"/>
                <w:szCs w:val="21"/>
              </w:rPr>
            </w:pPr>
            <w:r>
              <w:rPr>
                <w:rFonts w:hint="eastAsia" w:ascii="仿宋" w:hAnsi="仿宋" w:eastAsia="仿宋" w:cs="宋体"/>
                <w:color w:val="FF0000"/>
                <w:szCs w:val="21"/>
              </w:rPr>
              <w:t>限速</w:t>
            </w:r>
          </w:p>
        </w:tc>
        <w:tc>
          <w:tcPr>
            <w:tcW w:w="2436" w:type="dxa"/>
            <w:shd w:val="clear" w:color="auto" w:fill="auto"/>
          </w:tcPr>
          <w:p>
            <w:pPr>
              <w:rPr>
                <w:rFonts w:ascii="仿宋" w:hAnsi="仿宋" w:eastAsia="仿宋" w:cs="宋体"/>
                <w:szCs w:val="21"/>
              </w:rPr>
            </w:pPr>
            <w:r>
              <w:rPr>
                <w:rFonts w:hint="eastAsia" w:ascii="仿宋" w:hAnsi="仿宋" w:eastAsia="仿宋" w:cs="宋体"/>
                <w:color w:val="FF0000"/>
                <w:szCs w:val="21"/>
              </w:rPr>
              <w:t>限高</w:t>
            </w:r>
          </w:p>
        </w:tc>
        <w:tc>
          <w:tcPr>
            <w:tcW w:w="2496" w:type="dxa"/>
            <w:shd w:val="clear" w:color="auto" w:fill="auto"/>
          </w:tcPr>
          <w:p>
            <w:pPr>
              <w:rPr>
                <w:rFonts w:ascii="仿宋" w:hAnsi="仿宋" w:eastAsia="仿宋" w:cs="宋体"/>
                <w:szCs w:val="21"/>
              </w:rPr>
            </w:pPr>
            <w:r>
              <w:rPr>
                <w:rFonts w:hint="eastAsia" w:ascii="仿宋" w:hAnsi="仿宋" w:eastAsia="仿宋" w:cs="宋体"/>
                <w:color w:val="FF0000"/>
                <w:szCs w:val="21"/>
              </w:rPr>
              <w:t>电梯厅指引</w:t>
            </w:r>
          </w:p>
        </w:tc>
      </w:tr>
      <w:tr>
        <w:tblPrEx>
          <w:tblCellMar>
            <w:top w:w="0" w:type="dxa"/>
            <w:left w:w="108" w:type="dxa"/>
            <w:bottom w:w="0" w:type="dxa"/>
            <w:right w:w="108" w:type="dxa"/>
          </w:tblCellMar>
        </w:tblPrEx>
        <w:trPr>
          <w:trHeight w:val="3116" w:hRule="atLeast"/>
        </w:trPr>
        <w:tc>
          <w:tcPr>
            <w:tcW w:w="2404" w:type="dxa"/>
            <w:shd w:val="clear" w:color="auto" w:fill="auto"/>
          </w:tcPr>
          <w:p>
            <w:pPr>
              <w:rPr>
                <w:rFonts w:ascii="仿宋" w:hAnsi="仿宋" w:eastAsia="仿宋" w:cs="宋体"/>
                <w:color w:val="FF0000"/>
                <w:szCs w:val="21"/>
              </w:rPr>
            </w:pPr>
            <w:r>
              <w:rPr>
                <w:rFonts w:hint="eastAsia" w:ascii="仿宋" w:hAnsi="仿宋" w:eastAsia="仿宋" w:cs="宋体"/>
                <w:color w:val="FF0000"/>
                <w:szCs w:val="21"/>
              </w:rPr>
              <w:t>楼层区域指引</w:t>
            </w:r>
          </w:p>
        </w:tc>
        <w:tc>
          <w:tcPr>
            <w:tcW w:w="2436" w:type="dxa"/>
            <w:shd w:val="clear" w:color="auto" w:fill="auto"/>
          </w:tcPr>
          <w:p>
            <w:pPr>
              <w:rPr>
                <w:rFonts w:ascii="仿宋" w:hAnsi="仿宋" w:eastAsia="仿宋" w:cs="宋体"/>
                <w:color w:val="FF0000"/>
                <w:szCs w:val="21"/>
              </w:rPr>
            </w:pPr>
            <w:r>
              <w:rPr>
                <w:rFonts w:hint="eastAsia" w:ascii="仿宋" w:hAnsi="仿宋" w:eastAsia="仿宋" w:cs="宋体"/>
                <w:color w:val="FF0000"/>
                <w:szCs w:val="21"/>
              </w:rPr>
              <w:t>禁止鸣笛</w:t>
            </w:r>
          </w:p>
        </w:tc>
        <w:tc>
          <w:tcPr>
            <w:tcW w:w="2496" w:type="dxa"/>
            <w:shd w:val="clear" w:color="auto" w:fill="auto"/>
          </w:tcPr>
          <w:p>
            <w:pPr>
              <w:rPr>
                <w:rFonts w:ascii="仿宋" w:hAnsi="仿宋" w:eastAsia="仿宋" w:cs="宋体"/>
                <w:color w:val="FF0000"/>
                <w:szCs w:val="21"/>
              </w:rPr>
            </w:pPr>
            <w:r>
              <w:rPr>
                <w:rFonts w:hint="eastAsia" w:ascii="仿宋" w:hAnsi="仿宋" w:eastAsia="仿宋" w:cs="宋体"/>
                <w:color w:val="FF0000"/>
                <w:szCs w:val="21"/>
              </w:rPr>
              <w:t>禁止</w:t>
            </w:r>
          </w:p>
        </w:tc>
      </w:tr>
    </w:tbl>
    <w:p>
      <w:pPr>
        <w:ind w:left="600"/>
        <w:rPr>
          <w:rFonts w:ascii="仿宋" w:hAnsi="仿宋" w:eastAsia="仿宋" w:cs="宋体"/>
          <w:szCs w:val="21"/>
        </w:rPr>
      </w:pPr>
    </w:p>
    <w:p>
      <w:pPr>
        <w:ind w:left="600"/>
        <w:rPr>
          <w:rFonts w:ascii="仿宋" w:hAnsi="仿宋" w:eastAsia="仿宋" w:cs="宋体"/>
          <w:szCs w:val="21"/>
        </w:rPr>
      </w:pPr>
    </w:p>
    <w:p>
      <w:pPr>
        <w:ind w:firstLine="422" w:firstLineChars="200"/>
        <w:jc w:val="center"/>
        <w:outlineLvl w:val="1"/>
        <w:rPr>
          <w:rFonts w:ascii="仿宋" w:hAnsi="仿宋" w:eastAsia="仿宋" w:cs="宋体"/>
          <w:b/>
          <w:bCs/>
          <w:szCs w:val="21"/>
        </w:rPr>
      </w:pPr>
      <w:bookmarkStart w:id="89" w:name="_Toc98150634"/>
      <w:bookmarkStart w:id="90" w:name="_Toc21533"/>
      <w:r>
        <w:rPr>
          <w:rFonts w:hint="eastAsia" w:ascii="仿宋" w:hAnsi="仿宋" w:eastAsia="仿宋" w:cs="宋体"/>
          <w:b/>
          <w:bCs/>
          <w:szCs w:val="21"/>
        </w:rPr>
        <w:t>3、指示标志</w:t>
      </w:r>
      <w:bookmarkEnd w:id="89"/>
      <w:bookmarkEnd w:id="90"/>
    </w:p>
    <w:p>
      <w:pPr>
        <w:ind w:left="1440"/>
        <w:rPr>
          <w:rFonts w:ascii="仿宋" w:hAnsi="仿宋" w:eastAsia="仿宋" w:cs="宋体"/>
          <w:b/>
          <w:bCs/>
          <w:szCs w:val="21"/>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245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jc w:val="center"/>
        </w:trPr>
        <w:tc>
          <w:tcPr>
            <w:tcW w:w="2451" w:type="dxa"/>
            <w:tcBorders>
              <w:top w:val="nil"/>
              <w:left w:val="nil"/>
              <w:bottom w:val="nil"/>
              <w:right w:val="nil"/>
            </w:tcBorders>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419225" cy="1543050"/>
                  <wp:effectExtent l="0" t="0" r="9525" b="0"/>
                  <wp:docPr id="11" name="图片 11" descr="向左转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向左转弯"/>
                          <pic:cNvPicPr>
                            <a:picLocks noChangeAspect="1"/>
                          </pic:cNvPicPr>
                        </pic:nvPicPr>
                        <pic:blipFill>
                          <a:blip r:embed="rId13"/>
                          <a:stretch>
                            <a:fillRect/>
                          </a:stretch>
                        </pic:blipFill>
                        <pic:spPr>
                          <a:xfrm>
                            <a:off x="0" y="0"/>
                            <a:ext cx="1419225" cy="1543050"/>
                          </a:xfrm>
                          <a:prstGeom prst="rect">
                            <a:avLst/>
                          </a:prstGeom>
                          <a:noFill/>
                          <a:ln>
                            <a:noFill/>
                          </a:ln>
                        </pic:spPr>
                      </pic:pic>
                    </a:graphicData>
                  </a:graphic>
                </wp:inline>
              </w:drawing>
            </w:r>
          </w:p>
        </w:tc>
        <w:tc>
          <w:tcPr>
            <w:tcW w:w="2451" w:type="dxa"/>
            <w:tcBorders>
              <w:top w:val="nil"/>
              <w:left w:val="nil"/>
              <w:bottom w:val="nil"/>
              <w:right w:val="nil"/>
            </w:tcBorders>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419225" cy="1543050"/>
                  <wp:effectExtent l="0" t="0" r="9525" b="0"/>
                  <wp:docPr id="14" name="图片 12" descr="向右转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向右转弯"/>
                          <pic:cNvPicPr>
                            <a:picLocks noChangeAspect="1"/>
                          </pic:cNvPicPr>
                        </pic:nvPicPr>
                        <pic:blipFill>
                          <a:blip r:embed="rId14"/>
                          <a:stretch>
                            <a:fillRect/>
                          </a:stretch>
                        </pic:blipFill>
                        <pic:spPr>
                          <a:xfrm>
                            <a:off x="0" y="0"/>
                            <a:ext cx="1419225" cy="1543050"/>
                          </a:xfrm>
                          <a:prstGeom prst="rect">
                            <a:avLst/>
                          </a:prstGeom>
                          <a:noFill/>
                          <a:ln>
                            <a:noFill/>
                          </a:ln>
                        </pic:spPr>
                      </pic:pic>
                    </a:graphicData>
                  </a:graphic>
                </wp:inline>
              </w:drawing>
            </w:r>
          </w:p>
        </w:tc>
        <w:tc>
          <w:tcPr>
            <w:tcW w:w="2520" w:type="dxa"/>
            <w:tcBorders>
              <w:top w:val="nil"/>
              <w:left w:val="nil"/>
              <w:bottom w:val="nil"/>
              <w:right w:val="nil"/>
            </w:tcBorders>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266825" cy="1790700"/>
                  <wp:effectExtent l="0" t="0" r="9525" b="0"/>
                  <wp:docPr id="13" name="图片 13" descr="直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直行"/>
                          <pic:cNvPicPr>
                            <a:picLocks noChangeAspect="1"/>
                          </pic:cNvPicPr>
                        </pic:nvPicPr>
                        <pic:blipFill>
                          <a:blip r:embed="rId15"/>
                          <a:stretch>
                            <a:fillRect/>
                          </a:stretch>
                        </pic:blipFill>
                        <pic:spPr>
                          <a:xfrm>
                            <a:off x="0" y="0"/>
                            <a:ext cx="1266825" cy="17907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2451" w:type="dxa"/>
            <w:tcBorders>
              <w:top w:val="nil"/>
              <w:left w:val="nil"/>
              <w:bottom w:val="nil"/>
              <w:right w:val="nil"/>
            </w:tcBorders>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285875" cy="1819275"/>
                  <wp:effectExtent l="0" t="0" r="9525" b="9525"/>
                  <wp:docPr id="15" name="图片 14" descr="直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直行"/>
                          <pic:cNvPicPr>
                            <a:picLocks noChangeAspect="1"/>
                          </pic:cNvPicPr>
                        </pic:nvPicPr>
                        <pic:blipFill>
                          <a:blip r:embed="rId16"/>
                          <a:stretch>
                            <a:fillRect/>
                          </a:stretch>
                        </pic:blipFill>
                        <pic:spPr>
                          <a:xfrm>
                            <a:off x="0" y="0"/>
                            <a:ext cx="1285875" cy="1819275"/>
                          </a:xfrm>
                          <a:prstGeom prst="rect">
                            <a:avLst/>
                          </a:prstGeom>
                          <a:noFill/>
                          <a:ln>
                            <a:noFill/>
                          </a:ln>
                        </pic:spPr>
                      </pic:pic>
                    </a:graphicData>
                  </a:graphic>
                </wp:inline>
              </w:drawing>
            </w:r>
          </w:p>
        </w:tc>
        <w:tc>
          <w:tcPr>
            <w:tcW w:w="2451" w:type="dxa"/>
            <w:tcBorders>
              <w:top w:val="nil"/>
              <w:left w:val="nil"/>
              <w:bottom w:val="nil"/>
              <w:right w:val="nil"/>
            </w:tcBorders>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419225" cy="1543050"/>
                  <wp:effectExtent l="0" t="0" r="9525" b="0"/>
                  <wp:docPr id="16" name="图片 15" descr="直行和向右转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直行和向右转弯"/>
                          <pic:cNvPicPr>
                            <a:picLocks noChangeAspect="1"/>
                          </pic:cNvPicPr>
                        </pic:nvPicPr>
                        <pic:blipFill>
                          <a:blip r:embed="rId17"/>
                          <a:stretch>
                            <a:fillRect/>
                          </a:stretch>
                        </pic:blipFill>
                        <pic:spPr>
                          <a:xfrm>
                            <a:off x="0" y="0"/>
                            <a:ext cx="1419225" cy="1543050"/>
                          </a:xfrm>
                          <a:prstGeom prst="rect">
                            <a:avLst/>
                          </a:prstGeom>
                          <a:noFill/>
                          <a:ln>
                            <a:noFill/>
                          </a:ln>
                        </pic:spPr>
                      </pic:pic>
                    </a:graphicData>
                  </a:graphic>
                </wp:inline>
              </w:drawing>
            </w:r>
          </w:p>
        </w:tc>
        <w:tc>
          <w:tcPr>
            <w:tcW w:w="2520" w:type="dxa"/>
            <w:tcBorders>
              <w:top w:val="nil"/>
              <w:left w:val="nil"/>
              <w:bottom w:val="nil"/>
              <w:right w:val="nil"/>
            </w:tcBorders>
            <w:shd w:val="clear" w:color="auto" w:fill="auto"/>
          </w:tcPr>
          <w:p>
            <w:pPr>
              <w:rPr>
                <w:rFonts w:ascii="仿宋" w:hAnsi="仿宋" w:eastAsia="仿宋" w:cs="宋体"/>
                <w:szCs w:val="21"/>
              </w:rPr>
            </w:pPr>
            <w:r>
              <w:rPr>
                <w:rFonts w:hint="eastAsia" w:ascii="仿宋" w:hAnsi="仿宋" w:eastAsia="仿宋" w:cs="宋体"/>
                <w:szCs w:val="21"/>
              </w:rPr>
              <w:drawing>
                <wp:inline distT="0" distB="0" distL="114300" distR="114300">
                  <wp:extent cx="1419225" cy="1543050"/>
                  <wp:effectExtent l="0" t="0" r="9525" b="0"/>
                  <wp:docPr id="4" name="图片 16" descr="直行和向左转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直行和向左转弯"/>
                          <pic:cNvPicPr>
                            <a:picLocks noChangeAspect="1"/>
                          </pic:cNvPicPr>
                        </pic:nvPicPr>
                        <pic:blipFill>
                          <a:blip r:embed="rId18"/>
                          <a:stretch>
                            <a:fillRect/>
                          </a:stretch>
                        </pic:blipFill>
                        <pic:spPr>
                          <a:xfrm>
                            <a:off x="0" y="0"/>
                            <a:ext cx="1419225" cy="1543050"/>
                          </a:xfrm>
                          <a:prstGeom prst="rect">
                            <a:avLst/>
                          </a:prstGeom>
                          <a:noFill/>
                          <a:ln>
                            <a:noFill/>
                          </a:ln>
                        </pic:spPr>
                      </pic:pic>
                    </a:graphicData>
                  </a:graphic>
                </wp:inline>
              </w:drawing>
            </w:r>
          </w:p>
        </w:tc>
      </w:tr>
    </w:tbl>
    <w:p>
      <w:pPr>
        <w:widowControl/>
        <w:spacing w:line="360" w:lineRule="exact"/>
        <w:jc w:val="left"/>
        <w:rPr>
          <w:rFonts w:hint="eastAsia" w:ascii="仿宋" w:hAnsi="仿宋" w:eastAsia="仿宋" w:cs="Arial Unicode MS"/>
          <w:b/>
          <w:bCs/>
          <w:kern w:val="0"/>
          <w:szCs w:val="21"/>
          <w:highlight w:val="yellow"/>
        </w:rPr>
      </w:pPr>
    </w:p>
    <w:p>
      <w:pPr>
        <w:keepNext w:val="0"/>
        <w:keepLines w:val="0"/>
        <w:widowControl w:val="0"/>
        <w:suppressLineNumbers w:val="0"/>
        <w:spacing w:before="0" w:beforeAutospacing="0" w:after="0" w:afterAutospacing="0" w:line="360" w:lineRule="auto"/>
        <w:ind w:right="0"/>
        <w:jc w:val="left"/>
        <w:rPr>
          <w:rFonts w:hint="eastAsia" w:ascii="仿宋_GB2312" w:hAnsi="宋体" w:eastAsia="仿宋_GB2312" w:cs="Times New Roman"/>
          <w:b/>
          <w:bCs/>
          <w:kern w:val="2"/>
          <w:sz w:val="24"/>
          <w:szCs w:val="24"/>
          <w:lang w:val="en-US" w:eastAsia="zh-CN" w:bidi="ar"/>
        </w:rPr>
      </w:pPr>
      <w:r>
        <w:rPr>
          <w:rFonts w:hint="eastAsia" w:ascii="仿宋_GB2312" w:hAnsi="宋体" w:eastAsia="仿宋_GB2312" w:cs="Times New Roman"/>
          <w:b/>
          <w:bCs/>
          <w:kern w:val="2"/>
          <w:sz w:val="24"/>
          <w:szCs w:val="24"/>
          <w:lang w:val="en-US" w:eastAsia="zh-CN" w:bidi="ar"/>
        </w:rPr>
        <w:t>附件2：《中山大学孙逸仙纪念医院深汕中心医院停车场管理服务质量考核表》</w:t>
      </w:r>
    </w:p>
    <w:p>
      <w:pPr>
        <w:keepNext w:val="0"/>
        <w:keepLines w:val="0"/>
        <w:widowControl w:val="0"/>
        <w:suppressLineNumbers w:val="0"/>
        <w:spacing w:before="0" w:beforeAutospacing="0" w:after="0" w:afterAutospacing="0" w:line="360" w:lineRule="auto"/>
        <w:ind w:left="0" w:right="0" w:firstLine="482" w:firstLineChars="200"/>
        <w:jc w:val="left"/>
        <w:rPr>
          <w:rFonts w:hint="eastAsia" w:ascii="仿宋_GB2312" w:hAnsi="宋体" w:eastAsia="仿宋_GB2312" w:cs="Times New Roman"/>
          <w:b/>
          <w:bCs/>
          <w:kern w:val="2"/>
          <w:sz w:val="24"/>
          <w:szCs w:val="24"/>
          <w:lang w:val="en-US" w:eastAsia="zh-CN" w:bidi="ar"/>
        </w:rPr>
      </w:pPr>
      <w:r>
        <w:rPr>
          <w:rFonts w:hint="eastAsia" w:ascii="仿宋_GB2312" w:hAnsi="宋体" w:eastAsia="仿宋_GB2312" w:cs="Times New Roman"/>
          <w:b/>
          <w:bCs/>
          <w:kern w:val="2"/>
          <w:sz w:val="24"/>
          <w:szCs w:val="24"/>
          <w:lang w:val="en-US" w:eastAsia="zh-CN" w:bidi="ar"/>
        </w:rPr>
        <w:t>根据《中山大学孙逸仙纪念医院深汕中心医院停车场外包管理服务质量考核表》进行考核，具体考核扣罚如下：</w:t>
      </w:r>
    </w:p>
    <w:p>
      <w:pPr>
        <w:keepNext w:val="0"/>
        <w:keepLines w:val="0"/>
        <w:widowControl w:val="0"/>
        <w:suppressLineNumbers w:val="0"/>
        <w:spacing w:before="0" w:beforeAutospacing="0" w:after="0" w:afterAutospacing="0" w:line="360" w:lineRule="auto"/>
        <w:ind w:left="0" w:right="0"/>
        <w:jc w:val="left"/>
        <w:rPr>
          <w:rFonts w:hint="eastAsia" w:ascii="仿宋_GB2312" w:hAnsi="宋体" w:eastAsia="仿宋_GB2312" w:cs="Times New Roman"/>
          <w:b/>
          <w:bCs/>
          <w:kern w:val="2"/>
          <w:sz w:val="24"/>
          <w:szCs w:val="24"/>
          <w:lang w:val="en-US" w:eastAsia="zh-CN" w:bidi="ar"/>
        </w:rPr>
      </w:pPr>
      <w:r>
        <w:rPr>
          <w:rFonts w:hint="eastAsia" w:ascii="仿宋_GB2312" w:hAnsi="宋体" w:eastAsia="仿宋_GB2312" w:cs="Times New Roman"/>
          <w:b/>
          <w:bCs/>
          <w:kern w:val="2"/>
          <w:sz w:val="24"/>
          <w:szCs w:val="24"/>
          <w:lang w:val="en-US" w:eastAsia="zh-CN" w:bidi="ar"/>
        </w:rPr>
        <w:t>（1）得分≥85分的，免扣；</w:t>
      </w:r>
    </w:p>
    <w:p>
      <w:pPr>
        <w:keepNext w:val="0"/>
        <w:keepLines w:val="0"/>
        <w:widowControl w:val="0"/>
        <w:suppressLineNumbers w:val="0"/>
        <w:spacing w:before="0" w:beforeAutospacing="0" w:after="0" w:afterAutospacing="0" w:line="360" w:lineRule="auto"/>
        <w:ind w:left="0" w:right="0"/>
        <w:jc w:val="left"/>
        <w:rPr>
          <w:rFonts w:hint="eastAsia" w:ascii="仿宋_GB2312" w:hAnsi="宋体" w:eastAsia="仿宋_GB2312" w:cs="Times New Roman"/>
          <w:b/>
          <w:bCs/>
          <w:kern w:val="2"/>
          <w:sz w:val="24"/>
          <w:szCs w:val="24"/>
          <w:lang w:val="en-US" w:eastAsia="zh-CN" w:bidi="ar"/>
        </w:rPr>
      </w:pPr>
      <w:r>
        <w:rPr>
          <w:rFonts w:hint="eastAsia" w:ascii="仿宋_GB2312" w:hAnsi="宋体" w:eastAsia="仿宋_GB2312" w:cs="Times New Roman"/>
          <w:b/>
          <w:bCs/>
          <w:kern w:val="2"/>
          <w:sz w:val="24"/>
          <w:szCs w:val="24"/>
          <w:lang w:val="en-US" w:eastAsia="zh-CN" w:bidi="ar"/>
        </w:rPr>
        <w:t>（2）80≤得分＜85分的，本月扣款1000元；</w:t>
      </w:r>
    </w:p>
    <w:p>
      <w:pPr>
        <w:keepNext w:val="0"/>
        <w:keepLines w:val="0"/>
        <w:widowControl w:val="0"/>
        <w:suppressLineNumbers w:val="0"/>
        <w:spacing w:before="0" w:beforeAutospacing="0" w:after="0" w:afterAutospacing="0" w:line="360" w:lineRule="auto"/>
        <w:ind w:left="0" w:right="0"/>
        <w:jc w:val="left"/>
        <w:rPr>
          <w:rFonts w:hint="eastAsia" w:ascii="仿宋_GB2312" w:hAnsi="宋体" w:eastAsia="仿宋_GB2312" w:cs="Times New Roman"/>
          <w:b/>
          <w:bCs/>
          <w:kern w:val="2"/>
          <w:sz w:val="24"/>
          <w:szCs w:val="24"/>
          <w:lang w:val="en-US" w:eastAsia="zh-CN" w:bidi="ar"/>
        </w:rPr>
      </w:pPr>
      <w:r>
        <w:rPr>
          <w:rFonts w:hint="eastAsia" w:ascii="仿宋_GB2312" w:hAnsi="宋体" w:eastAsia="仿宋_GB2312" w:cs="Times New Roman"/>
          <w:b/>
          <w:bCs/>
          <w:kern w:val="2"/>
          <w:sz w:val="24"/>
          <w:szCs w:val="24"/>
          <w:lang w:val="en-US" w:eastAsia="zh-CN" w:bidi="ar"/>
        </w:rPr>
        <w:t>（3）60≤得分＜80分的，本月扣款5000元；</w:t>
      </w:r>
    </w:p>
    <w:p>
      <w:pPr>
        <w:keepNext w:val="0"/>
        <w:keepLines w:val="0"/>
        <w:widowControl w:val="0"/>
        <w:numPr>
          <w:ilvl w:val="0"/>
          <w:numId w:val="32"/>
        </w:numPr>
        <w:suppressLineNumbers w:val="0"/>
        <w:spacing w:before="0" w:beforeAutospacing="0" w:after="0" w:afterAutospacing="0" w:line="360" w:lineRule="auto"/>
        <w:ind w:left="0" w:right="0"/>
        <w:jc w:val="left"/>
        <w:rPr>
          <w:rFonts w:hint="eastAsia" w:ascii="仿宋_GB2312" w:hAnsi="宋体" w:eastAsia="仿宋_GB2312" w:cs="Times New Roman"/>
          <w:b/>
          <w:bCs/>
          <w:kern w:val="2"/>
          <w:sz w:val="24"/>
          <w:szCs w:val="24"/>
          <w:lang w:val="en-US" w:eastAsia="zh-CN" w:bidi="ar"/>
        </w:rPr>
      </w:pPr>
      <w:r>
        <w:rPr>
          <w:rFonts w:hint="eastAsia" w:ascii="仿宋_GB2312" w:hAnsi="宋体" w:eastAsia="仿宋_GB2312" w:cs="Times New Roman"/>
          <w:b/>
          <w:bCs/>
          <w:kern w:val="2"/>
          <w:sz w:val="24"/>
          <w:szCs w:val="24"/>
          <w:lang w:val="en-US" w:eastAsia="zh-CN" w:bidi="ar"/>
        </w:rPr>
        <w:t>得分＜60分的，警告，本月扣款10000元；</w:t>
      </w:r>
    </w:p>
    <w:p>
      <w:pPr>
        <w:spacing w:line="360" w:lineRule="auto"/>
        <w:rPr>
          <w:rFonts w:hint="default" w:ascii="仿宋_GB2312" w:hAnsi="宋体" w:eastAsia="仿宋_GB2312" w:cs="Times New Roman"/>
          <w:b/>
          <w:bCs/>
          <w:kern w:val="2"/>
          <w:sz w:val="24"/>
          <w:szCs w:val="24"/>
          <w:lang w:val="en-US" w:eastAsia="zh-CN" w:bidi="ar"/>
        </w:rPr>
      </w:pPr>
      <w:r>
        <w:rPr>
          <w:rFonts w:hint="eastAsia" w:ascii="仿宋_GB2312" w:hAnsi="宋体" w:eastAsia="仿宋_GB2312" w:cs="Times New Roman"/>
          <w:b/>
          <w:bCs/>
          <w:kern w:val="2"/>
          <w:sz w:val="24"/>
          <w:szCs w:val="24"/>
          <w:lang w:val="en-US" w:eastAsia="zh-CN" w:bidi="ar"/>
        </w:rPr>
        <w:t>（注：如累计两个月总扣分低于60，甲方将甲方有权终止本合同并扣除履约保证金。）</w:t>
      </w:r>
    </w:p>
    <w:tbl>
      <w:tblPr>
        <w:tblStyle w:val="13"/>
        <w:tblW w:w="10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2"/>
        <w:gridCol w:w="3371"/>
        <w:gridCol w:w="3955"/>
        <w:gridCol w:w="98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
                <w:bCs/>
                <w:szCs w:val="21"/>
                <w:lang w:val="en-US"/>
              </w:rPr>
            </w:pPr>
            <w:r>
              <w:rPr>
                <w:rFonts w:hint="eastAsia" w:ascii="仿宋_GB2312" w:hAnsi="宋体" w:eastAsia="仿宋_GB2312" w:cs="仿宋_GB2312"/>
                <w:b/>
                <w:bCs/>
                <w:kern w:val="2"/>
                <w:sz w:val="21"/>
                <w:szCs w:val="21"/>
                <w:lang w:val="en-US" w:eastAsia="zh-CN" w:bidi="ar"/>
              </w:rPr>
              <w:t>序号</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
                <w:bCs/>
                <w:szCs w:val="21"/>
                <w:lang w:val="en-US"/>
              </w:rPr>
            </w:pPr>
            <w:r>
              <w:rPr>
                <w:rFonts w:hint="eastAsia" w:ascii="仿宋_GB2312" w:hAnsi="宋体" w:eastAsia="仿宋_GB2312" w:cs="仿宋_GB2312"/>
                <w:b/>
                <w:bCs/>
                <w:kern w:val="2"/>
                <w:sz w:val="21"/>
                <w:szCs w:val="21"/>
                <w:lang w:val="en-US" w:eastAsia="zh-CN" w:bidi="ar"/>
              </w:rPr>
              <w:t>考  核  内  容</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
                <w:bCs/>
                <w:szCs w:val="21"/>
                <w:lang w:val="en-US"/>
              </w:rPr>
            </w:pPr>
            <w:r>
              <w:rPr>
                <w:rFonts w:hint="eastAsia" w:ascii="仿宋_GB2312" w:hAnsi="宋体" w:eastAsia="仿宋_GB2312" w:cs="仿宋_GB2312"/>
                <w:b/>
                <w:bCs/>
                <w:kern w:val="2"/>
                <w:sz w:val="21"/>
                <w:szCs w:val="21"/>
                <w:lang w:val="en-US" w:eastAsia="zh-CN" w:bidi="ar"/>
              </w:rPr>
              <w:t>扣 款 处 罚 细  则</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
                <w:bCs/>
                <w:szCs w:val="21"/>
                <w:lang w:val="en-US"/>
              </w:rPr>
            </w:pPr>
            <w:r>
              <w:rPr>
                <w:rFonts w:hint="eastAsia" w:ascii="仿宋_GB2312" w:hAnsi="宋体" w:eastAsia="仿宋_GB2312" w:cs="仿宋_GB2312"/>
                <w:b/>
                <w:bCs/>
                <w:kern w:val="2"/>
                <w:sz w:val="21"/>
                <w:szCs w:val="21"/>
                <w:lang w:val="en-US" w:eastAsia="zh-CN" w:bidi="ar"/>
              </w:rPr>
              <w:t>考核扣(加)分</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
                <w:bCs/>
                <w:szCs w:val="21"/>
                <w:lang w:val="en-US"/>
              </w:rPr>
            </w:pPr>
            <w:r>
              <w:rPr>
                <w:rFonts w:hint="eastAsia" w:ascii="仿宋_GB2312" w:hAnsi="宋体" w:eastAsia="仿宋_GB2312" w:cs="仿宋_GB2312"/>
                <w:b/>
                <w:bCs/>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车场保安员礼貌执勤,文明服务</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每收到礼貌执勤方面投诉扣0.1分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2</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制定各岗位的岗位职责和考核制</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度,并经常性检查监督</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未落实有关责任和考核制度每发现一次扣0.2分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3</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车场保安员上班仪容整洁,精神饱满</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每发现保安员仪容不整洁, 每发现一次扣0.1分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4</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设置电子考勤管理系统，由后勤科监管考勤管理</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发现作弊或瞒报，每违反一次扣1-2分，视情况严重程度扣分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5</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制定日常培训计划并落到实处</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定期检查,每发现一次扣0.1分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6</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员工持证上岗</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未持证上岗每人扣0.1分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7</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用户投诉次数每月小于5次</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每超出一次扣1分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8</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用户有效投诉处理率100%</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每一单有效投诉未作处理扣0.2分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9</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定期与院方沟通,发现问题无法处理时及时上报</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发现隐瞒或误报,每次扣1分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10</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遵守医院规章制度及后勤保卫相关规定</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每违反一次扣1-2分，情节严重者，视情节严重程度扣分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11</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每季度进行一次客户调查，设定关键满意指标</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满意率达到90%以上,每下降1%,则扣0.5分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12</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做好消防设备和闭路监控电视的值班工作,发现故障及时在10分钟内报告并协助工作</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违反每次扣1分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13</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全力做好医院停车场内发生的特发事件或紧急事件的保卫工作</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应在10分钟内到达现场, 违反每次扣2分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14</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 xml:space="preserve">本派驻点遇紧急情况需保安支援时，100%满足要求 </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违反每次扣1分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15</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做到安全生产率100%</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视实际情况,扣分1-100分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16</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保安年龄要求18-40周岁</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发现违反每个扣1分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17</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教育员工遵守国家法律</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视实际情况,扣分1-10分或送司法部门处理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18</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按国家有关法规用工</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若员工投诉或影响到甲方正常生产,每次扣1-5分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
                <w:bCs w:val="0"/>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b/>
                <w:bCs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6"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19</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对收到表扬信的行为进行表彰</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每收到用户的表扬信每次加0.1分</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每收到院方科室的表扬信每次加0.5分, 每收到当地政府机构的表扬信每次加1分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所加分数可用于抵扣分数,超100分按100分计算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46"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20</w:t>
            </w:r>
          </w:p>
        </w:tc>
        <w:tc>
          <w:tcPr>
            <w:tcW w:w="3371" w:type="dxa"/>
            <w:tcBorders>
              <w:top w:val="single" w:color="auto" w:sz="4" w:space="0"/>
              <w:left w:val="single" w:color="auto" w:sz="4" w:space="0"/>
              <w:bottom w:val="single" w:color="auto" w:sz="4" w:space="0"/>
              <w:right w:val="sing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当值期间发现保安员违法犯罪监守自盗或参加打架斗殴等</w:t>
            </w:r>
          </w:p>
        </w:tc>
        <w:tc>
          <w:tcPr>
            <w:tcW w:w="3955" w:type="dxa"/>
            <w:tcBorders>
              <w:top w:val="single" w:color="auto" w:sz="4" w:space="0"/>
              <w:left w:val="sing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每发现一宗视情节扣20-50分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扣分为(-),加分为(+)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21</w:t>
            </w:r>
          </w:p>
        </w:tc>
        <w:tc>
          <w:tcPr>
            <w:tcW w:w="3371" w:type="dxa"/>
            <w:tcBorders>
              <w:top w:val="single" w:color="auto" w:sz="4" w:space="0"/>
              <w:left w:val="single" w:color="auto" w:sz="4" w:space="0"/>
              <w:bottom w:val="single" w:color="auto" w:sz="4" w:space="0"/>
              <w:right w:val="sing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 xml:space="preserve">发生失窃事件或抓获小偷，  </w:t>
            </w:r>
          </w:p>
        </w:tc>
        <w:tc>
          <w:tcPr>
            <w:tcW w:w="3955" w:type="dxa"/>
            <w:tcBorders>
              <w:top w:val="single" w:color="auto" w:sz="4" w:space="0"/>
              <w:left w:val="sing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（以报告派出所为准）每次扣2分；抓获小偷，每人每次加2分（以送派出所为准）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22</w:t>
            </w:r>
          </w:p>
        </w:tc>
        <w:tc>
          <w:tcPr>
            <w:tcW w:w="3371" w:type="dxa"/>
            <w:tcBorders>
              <w:top w:val="single" w:color="auto" w:sz="4" w:space="0"/>
              <w:left w:val="single" w:color="auto" w:sz="4" w:space="0"/>
              <w:bottom w:val="single" w:color="auto" w:sz="4" w:space="0"/>
              <w:right w:val="sing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仿宋" w:eastAsia="仿宋_GB2312" w:cs="宋体"/>
                <w:kern w:val="2"/>
                <w:sz w:val="21"/>
                <w:szCs w:val="21"/>
                <w:lang w:val="en-US" w:eastAsia="zh-CN" w:bidi="ar"/>
              </w:rPr>
              <w:t>安保队伍人员稳定管理方法</w:t>
            </w:r>
          </w:p>
        </w:tc>
        <w:tc>
          <w:tcPr>
            <w:tcW w:w="3955" w:type="dxa"/>
            <w:tcBorders>
              <w:top w:val="single" w:color="auto" w:sz="4" w:space="0"/>
              <w:left w:val="sing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仿宋" w:eastAsia="仿宋_GB2312" w:cs="宋体"/>
                <w:kern w:val="2"/>
                <w:sz w:val="21"/>
                <w:szCs w:val="21"/>
                <w:lang w:val="en-US" w:eastAsia="zh-CN" w:bidi="ar"/>
              </w:rPr>
              <w:t>每月安保队伍人员更换率≤ 2 %，不扣分；2 % &lt;每月更换率≤ 5 %，扣 1 分；5%&lt;每月更换率扣2分。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kern w:val="2"/>
                <w:sz w:val="21"/>
                <w:szCs w:val="21"/>
                <w:lang w:val="en-US" w:eastAsia="zh-CN" w:bidi="ar"/>
              </w:rPr>
            </w:pPr>
            <w:r>
              <w:rPr>
                <w:rFonts w:hint="eastAsia" w:ascii="仿宋_GB2312" w:hAnsi="宋体" w:eastAsia="仿宋_GB2312" w:cs="仿宋_GB2312"/>
                <w:kern w:val="2"/>
                <w:sz w:val="21"/>
                <w:szCs w:val="21"/>
                <w:lang w:val="en-US" w:eastAsia="zh-CN" w:bidi="ar"/>
              </w:rPr>
              <w:t>23</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_GB2312" w:hAnsi="仿宋" w:eastAsia="仿宋_GB2312" w:cs="宋体"/>
                <w:kern w:val="2"/>
                <w:sz w:val="21"/>
                <w:szCs w:val="21"/>
                <w:lang w:val="en-US" w:eastAsia="zh-CN" w:bidi="ar"/>
              </w:rPr>
            </w:pPr>
            <w:r>
              <w:rPr>
                <w:rFonts w:hint="eastAsia" w:ascii="仿宋_GB2312" w:hAnsi="仿宋" w:eastAsia="仿宋_GB2312" w:cs="宋体"/>
                <w:kern w:val="2"/>
                <w:sz w:val="21"/>
                <w:szCs w:val="21"/>
                <w:lang w:val="en-US" w:eastAsia="zh-CN" w:bidi="ar"/>
              </w:rPr>
              <w:t>停车场设施完好无损</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仿宋" w:eastAsia="仿宋_GB2312" w:cs="宋体"/>
                <w:kern w:val="2"/>
                <w:sz w:val="21"/>
                <w:szCs w:val="21"/>
                <w:lang w:val="en-US" w:eastAsia="zh-CN" w:bidi="ar"/>
              </w:rPr>
            </w:pPr>
            <w:r>
              <w:rPr>
                <w:rFonts w:hint="eastAsia" w:ascii="仿宋_GB2312" w:hAnsi="宋体" w:eastAsia="仿宋_GB2312" w:cs="仿宋_GB2312"/>
                <w:kern w:val="2"/>
                <w:sz w:val="21"/>
                <w:szCs w:val="21"/>
                <w:lang w:val="en-US" w:eastAsia="zh-CN" w:bidi="ar"/>
              </w:rPr>
              <w:t>每违反一次扣1-2分，情节严重者，视情节严重程度扣分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kern w:val="2"/>
                <w:sz w:val="21"/>
                <w:szCs w:val="21"/>
                <w:lang w:val="en-US" w:eastAsia="zh-CN" w:bidi="ar"/>
              </w:rPr>
            </w:pPr>
            <w:r>
              <w:rPr>
                <w:rFonts w:hint="eastAsia" w:ascii="仿宋_GB2312" w:hAnsi="宋体" w:eastAsia="仿宋_GB2312" w:cs="仿宋_GB2312"/>
                <w:kern w:val="2"/>
                <w:sz w:val="21"/>
                <w:szCs w:val="21"/>
                <w:lang w:val="en-US" w:eastAsia="zh-CN" w:bidi="ar"/>
              </w:rPr>
              <w:t>24</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_GB2312" w:hAnsi="仿宋" w:eastAsia="仿宋_GB2312" w:cs="宋体"/>
                <w:kern w:val="2"/>
                <w:sz w:val="21"/>
                <w:szCs w:val="21"/>
                <w:lang w:val="en-US" w:eastAsia="zh-CN" w:bidi="ar"/>
              </w:rPr>
            </w:pPr>
            <w:r>
              <w:rPr>
                <w:rFonts w:hint="eastAsia" w:ascii="仿宋_GB2312" w:hAnsi="仿宋" w:eastAsia="仿宋_GB2312" w:cs="宋体"/>
                <w:kern w:val="2"/>
                <w:sz w:val="21"/>
                <w:szCs w:val="21"/>
                <w:lang w:val="en-US" w:eastAsia="zh-CN" w:bidi="ar"/>
              </w:rPr>
              <w:t>停车场内车辆事故及时响应，</w:t>
            </w:r>
            <w:r>
              <w:rPr>
                <w:rFonts w:hint="eastAsia" w:ascii="仿宋_GB2312" w:hAnsi="宋体" w:eastAsia="仿宋_GB2312" w:cs="仿宋_GB2312"/>
                <w:kern w:val="2"/>
                <w:sz w:val="21"/>
                <w:szCs w:val="21"/>
                <w:lang w:val="en-US" w:eastAsia="zh-CN" w:bidi="ar"/>
              </w:rPr>
              <w:t>100%满足要求</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仿宋" w:eastAsia="仿宋_GB2312" w:cs="宋体"/>
                <w:kern w:val="2"/>
                <w:sz w:val="21"/>
                <w:szCs w:val="21"/>
                <w:lang w:val="en-US" w:eastAsia="zh-CN" w:bidi="ar"/>
              </w:rPr>
            </w:pPr>
            <w:r>
              <w:rPr>
                <w:rFonts w:hint="eastAsia" w:ascii="仿宋_GB2312" w:hAnsi="宋体" w:eastAsia="仿宋_GB2312" w:cs="仿宋_GB2312"/>
                <w:kern w:val="2"/>
                <w:sz w:val="21"/>
                <w:szCs w:val="21"/>
                <w:lang w:val="en-US" w:eastAsia="zh-CN" w:bidi="ar"/>
              </w:rPr>
              <w:t>违反每次扣1分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kern w:val="2"/>
                <w:sz w:val="21"/>
                <w:szCs w:val="21"/>
                <w:lang w:val="en-US" w:eastAsia="zh-CN" w:bidi="ar"/>
              </w:rPr>
            </w:pPr>
            <w:r>
              <w:rPr>
                <w:rFonts w:hint="eastAsia" w:ascii="仿宋_GB2312" w:hAnsi="宋体" w:eastAsia="仿宋_GB2312" w:cs="仿宋_GB2312"/>
                <w:kern w:val="2"/>
                <w:sz w:val="21"/>
                <w:szCs w:val="21"/>
                <w:lang w:val="en-US" w:eastAsia="zh-CN" w:bidi="ar"/>
              </w:rPr>
              <w:t>25</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kern w:val="2"/>
                <w:sz w:val="21"/>
                <w:szCs w:val="21"/>
                <w:lang w:val="en-US" w:eastAsia="zh-CN" w:bidi="ar"/>
              </w:rPr>
            </w:pPr>
            <w:r>
              <w:rPr>
                <w:rFonts w:hint="eastAsia" w:ascii="仿宋_GB2312" w:hAnsi="宋体" w:eastAsia="仿宋_GB2312" w:cs="仿宋_GB2312"/>
                <w:kern w:val="2"/>
                <w:sz w:val="21"/>
                <w:szCs w:val="21"/>
                <w:lang w:val="en-US" w:eastAsia="zh-CN" w:bidi="ar"/>
              </w:rPr>
              <w:t>遵守属地市场监督局、发改局相关指导意见，接收监督。</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kern w:val="2"/>
                <w:sz w:val="21"/>
                <w:szCs w:val="21"/>
                <w:lang w:val="en-US" w:eastAsia="zh-CN" w:bidi="ar"/>
              </w:rPr>
            </w:pPr>
            <w:r>
              <w:rPr>
                <w:rFonts w:hint="eastAsia" w:ascii="仿宋_GB2312" w:hAnsi="宋体" w:eastAsia="仿宋_GB2312" w:cs="仿宋_GB2312"/>
                <w:kern w:val="2"/>
                <w:sz w:val="21"/>
                <w:szCs w:val="21"/>
                <w:lang w:val="en-US" w:eastAsia="zh-CN" w:bidi="ar"/>
              </w:rPr>
              <w:t>违反每次扣1分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67"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kern w:val="2"/>
                <w:sz w:val="21"/>
                <w:szCs w:val="21"/>
                <w:lang w:val="en-US" w:eastAsia="zh-CN" w:bidi="ar"/>
              </w:rPr>
            </w:pPr>
            <w:r>
              <w:rPr>
                <w:rFonts w:hint="eastAsia" w:ascii="仿宋_GB2312" w:hAnsi="宋体" w:eastAsia="仿宋_GB2312" w:cs="仿宋_GB2312"/>
                <w:kern w:val="2"/>
                <w:sz w:val="21"/>
                <w:szCs w:val="21"/>
                <w:lang w:val="en-US" w:eastAsia="zh-CN" w:bidi="ar"/>
              </w:rPr>
              <w:t>26</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kern w:val="2"/>
                <w:sz w:val="21"/>
                <w:szCs w:val="21"/>
                <w:lang w:val="en-US" w:eastAsia="zh-CN" w:bidi="ar"/>
              </w:rPr>
            </w:pPr>
            <w:r>
              <w:rPr>
                <w:rFonts w:hint="eastAsia" w:ascii="仿宋_GB2312" w:hAnsi="宋体" w:eastAsia="仿宋_GB2312" w:cs="仿宋_GB2312"/>
                <w:kern w:val="2"/>
                <w:sz w:val="21"/>
                <w:szCs w:val="21"/>
                <w:lang w:val="en-US" w:eastAsia="zh-CN" w:bidi="ar"/>
              </w:rPr>
              <w:t>严禁扰乱办理月卡收费，严格落实合同条款，完成履约。</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kern w:val="2"/>
                <w:sz w:val="21"/>
                <w:szCs w:val="21"/>
                <w:lang w:val="en-US" w:eastAsia="zh-CN" w:bidi="ar"/>
              </w:rPr>
            </w:pPr>
            <w:r>
              <w:rPr>
                <w:rFonts w:hint="eastAsia" w:ascii="仿宋_GB2312" w:hAnsi="宋体" w:eastAsia="仿宋_GB2312" w:cs="仿宋_GB2312"/>
                <w:kern w:val="2"/>
                <w:sz w:val="21"/>
                <w:szCs w:val="21"/>
                <w:lang w:val="en-US" w:eastAsia="zh-CN" w:bidi="ar"/>
              </w:rPr>
              <w:t>违反每次扣1分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kern w:val="2"/>
                <w:sz w:val="21"/>
                <w:szCs w:val="21"/>
                <w:lang w:val="en-US" w:eastAsia="zh-CN" w:bidi="ar"/>
              </w:rPr>
            </w:pPr>
            <w:r>
              <w:rPr>
                <w:rFonts w:hint="eastAsia" w:ascii="仿宋_GB2312" w:hAnsi="宋体" w:eastAsia="仿宋_GB2312" w:cs="仿宋_GB2312"/>
                <w:kern w:val="2"/>
                <w:sz w:val="21"/>
                <w:szCs w:val="21"/>
                <w:lang w:val="en-US" w:eastAsia="zh-CN" w:bidi="ar"/>
              </w:rPr>
              <w:t>27</w:t>
            </w:r>
          </w:p>
        </w:tc>
        <w:tc>
          <w:tcPr>
            <w:tcW w:w="73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kern w:val="2"/>
                <w:sz w:val="21"/>
                <w:szCs w:val="21"/>
                <w:lang w:val="en-US" w:eastAsia="zh-CN" w:bidi="ar"/>
              </w:rPr>
            </w:pPr>
            <w:r>
              <w:rPr>
                <w:rFonts w:hint="eastAsia" w:ascii="仿宋_GB2312" w:hAnsi="宋体" w:eastAsia="仿宋_GB2312" w:cs="仿宋_GB2312"/>
                <w:b/>
                <w:bCs/>
                <w:kern w:val="2"/>
                <w:sz w:val="21"/>
                <w:szCs w:val="21"/>
                <w:lang w:val="en-US" w:eastAsia="zh-CN" w:bidi="ar"/>
              </w:rPr>
              <w:t>总考核扣(加)分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28</w:t>
            </w:r>
          </w:p>
        </w:tc>
        <w:tc>
          <w:tcPr>
            <w:tcW w:w="73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szCs w:val="21"/>
                <w:lang w:val="en-US" w:eastAsia="zh-CN"/>
              </w:rPr>
            </w:pPr>
            <w:r>
              <w:rPr>
                <w:rFonts w:hint="eastAsia" w:ascii="仿宋_GB2312" w:hAnsi="宋体" w:eastAsia="仿宋_GB2312" w:cs="仿宋_GB2312"/>
                <w:b/>
                <w:bCs/>
                <w:kern w:val="2"/>
                <w:sz w:val="21"/>
                <w:szCs w:val="21"/>
                <w:lang w:val="en-US" w:eastAsia="zh-CN" w:bidi="ar"/>
              </w:rPr>
              <w:t>总分</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Cs w:val="21"/>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Cs w:val="21"/>
                <w:lang w:val="en-US"/>
              </w:rPr>
            </w:pPr>
            <w:r>
              <w:rPr>
                <w:rFonts w:hint="eastAsia" w:ascii="仿宋_GB2312" w:hAnsi="宋体" w:eastAsia="仿宋_GB2312" w:cs="仿宋_GB2312"/>
                <w:kern w:val="2"/>
                <w:sz w:val="21"/>
                <w:szCs w:val="21"/>
                <w:lang w:val="en-US" w:eastAsia="zh-CN" w:bidi="ar"/>
              </w:rPr>
              <w:t>总分为100分,超过100分按100分计算</w:t>
            </w:r>
          </w:p>
        </w:tc>
      </w:tr>
    </w:tbl>
    <w:p>
      <w:pPr>
        <w:keepNext w:val="0"/>
        <w:keepLines w:val="0"/>
        <w:widowControl w:val="0"/>
        <w:suppressLineNumbers w:val="0"/>
        <w:spacing w:before="0" w:beforeAutospacing="0" w:after="0" w:afterAutospacing="0" w:line="360" w:lineRule="auto"/>
        <w:ind w:left="0" w:right="0"/>
        <w:jc w:val="left"/>
        <w:rPr>
          <w:rFonts w:hint="eastAsia" w:ascii="仿宋_GB2312" w:hAnsi="宋体" w:eastAsia="仿宋_GB2312" w:cs="Times New Roman"/>
          <w:b/>
          <w:bCs/>
          <w:kern w:val="2"/>
          <w:sz w:val="24"/>
          <w:szCs w:val="24"/>
          <w:lang w:val="en-US" w:eastAsia="zh-CN" w:bidi="ar"/>
        </w:rPr>
      </w:pPr>
    </w:p>
    <w:p>
      <w:pPr>
        <w:keepNext w:val="0"/>
        <w:keepLines w:val="0"/>
        <w:widowControl w:val="0"/>
        <w:suppressLineNumbers w:val="0"/>
        <w:spacing w:before="0" w:beforeAutospacing="0" w:after="0" w:afterAutospacing="0" w:line="360" w:lineRule="auto"/>
        <w:ind w:left="0" w:right="0"/>
        <w:jc w:val="left"/>
        <w:rPr>
          <w:rFonts w:hint="eastAsia" w:ascii="仿宋_GB2312" w:hAnsi="宋体" w:eastAsia="仿宋_GB2312" w:cs="仿宋_GB2312"/>
          <w:b/>
          <w:bCs/>
          <w:sz w:val="24"/>
          <w:szCs w:val="24"/>
          <w:lang w:val="en-US"/>
        </w:rPr>
      </w:pPr>
      <w:r>
        <w:rPr>
          <w:rFonts w:hint="eastAsia" w:ascii="仿宋_GB2312" w:hAnsi="宋体" w:eastAsia="仿宋_GB2312" w:cs="仿宋_GB2312"/>
          <w:b/>
          <w:bCs/>
          <w:kern w:val="2"/>
          <w:sz w:val="24"/>
          <w:szCs w:val="24"/>
          <w:lang w:val="en-US" w:eastAsia="zh-CN" w:bidi="ar"/>
        </w:rPr>
        <w:t xml:space="preserve">考核周期为:自    年   月  日至  月  日             </w:t>
      </w:r>
    </w:p>
    <w:p>
      <w:pPr>
        <w:keepNext w:val="0"/>
        <w:keepLines w:val="0"/>
        <w:widowControl w:val="0"/>
        <w:suppressLineNumbers w:val="0"/>
        <w:spacing w:before="0" w:beforeAutospacing="0" w:after="0" w:afterAutospacing="0" w:line="360" w:lineRule="auto"/>
        <w:ind w:left="0" w:right="0"/>
        <w:jc w:val="both"/>
        <w:rPr>
          <w:rFonts w:hint="default" w:ascii="仿宋_GB2312" w:hAnsi="宋体" w:eastAsia="仿宋_GB2312" w:cs="仿宋_GB2312"/>
          <w:b/>
          <w:bCs/>
          <w:kern w:val="2"/>
          <w:sz w:val="24"/>
          <w:szCs w:val="24"/>
          <w:lang w:val="en-US" w:eastAsia="zh-CN" w:bidi="ar"/>
        </w:rPr>
      </w:pPr>
      <w:r>
        <w:rPr>
          <w:rFonts w:hint="eastAsia" w:ascii="仿宋_GB2312" w:hAnsi="宋体" w:eastAsia="仿宋_GB2312" w:cs="仿宋_GB2312"/>
          <w:b/>
          <w:bCs/>
          <w:kern w:val="2"/>
          <w:sz w:val="24"/>
          <w:szCs w:val="24"/>
          <w:lang w:val="en-US" w:eastAsia="zh-CN" w:bidi="ar"/>
        </w:rPr>
        <w:t>甲方考核人签名:                           主管科室盖章：</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仿宋_GB2312"/>
          <w:b/>
          <w:bCs/>
          <w:kern w:val="2"/>
          <w:sz w:val="24"/>
          <w:szCs w:val="24"/>
          <w:lang w:val="en-US" w:eastAsia="zh-CN" w:bidi="ar"/>
        </w:rPr>
      </w:pPr>
      <w:r>
        <w:rPr>
          <w:rFonts w:hint="eastAsia" w:ascii="仿宋_GB2312" w:hAnsi="宋体" w:eastAsia="仿宋_GB2312" w:cs="仿宋_GB2312"/>
          <w:b/>
          <w:bCs/>
          <w:kern w:val="2"/>
          <w:sz w:val="24"/>
          <w:szCs w:val="24"/>
          <w:lang w:val="en-US" w:eastAsia="zh-CN" w:bidi="ar"/>
        </w:rPr>
        <w:t xml:space="preserve">乙方负责人签名:                           乙方盖章           </w:t>
      </w:r>
    </w:p>
    <w:p>
      <w:pPr>
        <w:keepNext w:val="0"/>
        <w:keepLines w:val="0"/>
        <w:widowControl w:val="0"/>
        <w:suppressLineNumbers w:val="0"/>
        <w:spacing w:before="0" w:beforeAutospacing="0" w:after="0" w:afterAutospacing="0" w:line="360" w:lineRule="auto"/>
        <w:ind w:left="0" w:right="0"/>
        <w:jc w:val="left"/>
      </w:pPr>
      <w:r>
        <w:rPr>
          <w:rFonts w:hint="eastAsia" w:ascii="仿宋_GB2312" w:hAnsi="宋体" w:eastAsia="仿宋_GB2312" w:cs="仿宋_GB2312"/>
          <w:b/>
          <w:bCs/>
          <w:kern w:val="2"/>
          <w:sz w:val="24"/>
          <w:szCs w:val="24"/>
          <w:lang w:val="en-US" w:eastAsia="zh-CN" w:bidi="ar"/>
        </w:rPr>
        <w:t>日期：</w:t>
      </w:r>
    </w:p>
    <w:p>
      <w:pPr>
        <w:widowControl/>
        <w:spacing w:line="360" w:lineRule="exact"/>
        <w:jc w:val="left"/>
        <w:rPr>
          <w:rFonts w:hint="eastAsia" w:ascii="仿宋" w:hAnsi="仿宋" w:eastAsia="仿宋" w:cs="Arial Unicode MS"/>
          <w:b/>
          <w:bCs/>
          <w:kern w:val="0"/>
          <w:szCs w:val="21"/>
          <w:highlight w:val="yellow"/>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创艺繁宋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ascii="宋体" w:hAnsi="宋体" w:eastAsia="宋体" w:cs="Arial Unicode MS"/>
        <w:b/>
        <w:bCs/>
        <w:kern w:val="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912C7"/>
    <w:multiLevelType w:val="singleLevel"/>
    <w:tmpl w:val="808912C7"/>
    <w:lvl w:ilvl="0" w:tentative="0">
      <w:start w:val="1"/>
      <w:numFmt w:val="chineseCounting"/>
      <w:suff w:val="nothing"/>
      <w:lvlText w:val="%1、"/>
      <w:lvlJc w:val="left"/>
      <w:rPr>
        <w:rFonts w:hint="eastAsia"/>
      </w:rPr>
    </w:lvl>
  </w:abstractNum>
  <w:abstractNum w:abstractNumId="1">
    <w:nsid w:val="8777AE54"/>
    <w:multiLevelType w:val="singleLevel"/>
    <w:tmpl w:val="8777AE54"/>
    <w:lvl w:ilvl="0" w:tentative="0">
      <w:start w:val="1"/>
      <w:numFmt w:val="decimal"/>
      <w:lvlText w:val="(%1)"/>
      <w:lvlJc w:val="left"/>
      <w:pPr>
        <w:tabs>
          <w:tab w:val="left" w:pos="420"/>
        </w:tabs>
        <w:ind w:left="0" w:firstLine="347"/>
      </w:pPr>
      <w:rPr>
        <w:rFonts w:hint="default"/>
      </w:rPr>
    </w:lvl>
  </w:abstractNum>
  <w:abstractNum w:abstractNumId="2">
    <w:nsid w:val="913EC979"/>
    <w:multiLevelType w:val="singleLevel"/>
    <w:tmpl w:val="913EC979"/>
    <w:lvl w:ilvl="0" w:tentative="0">
      <w:start w:val="1"/>
      <w:numFmt w:val="chineseCounting"/>
      <w:suff w:val="nothing"/>
      <w:lvlText w:val="（%1）"/>
      <w:lvlJc w:val="left"/>
      <w:rPr>
        <w:rFonts w:hint="eastAsia"/>
      </w:rPr>
    </w:lvl>
  </w:abstractNum>
  <w:abstractNum w:abstractNumId="3">
    <w:nsid w:val="9DACCCF8"/>
    <w:multiLevelType w:val="singleLevel"/>
    <w:tmpl w:val="9DACCCF8"/>
    <w:lvl w:ilvl="0" w:tentative="0">
      <w:start w:val="1"/>
      <w:numFmt w:val="decimal"/>
      <w:suff w:val="nothing"/>
      <w:lvlText w:val="%1．"/>
      <w:lvlJc w:val="left"/>
      <w:pPr>
        <w:tabs>
          <w:tab w:val="left" w:pos="0"/>
        </w:tabs>
        <w:ind w:left="0" w:firstLine="403"/>
      </w:pPr>
      <w:rPr>
        <w:rFonts w:hint="default"/>
      </w:rPr>
    </w:lvl>
  </w:abstractNum>
  <w:abstractNum w:abstractNumId="4">
    <w:nsid w:val="A21DAD79"/>
    <w:multiLevelType w:val="singleLevel"/>
    <w:tmpl w:val="A21DAD79"/>
    <w:lvl w:ilvl="0" w:tentative="0">
      <w:start w:val="1"/>
      <w:numFmt w:val="chineseCounting"/>
      <w:suff w:val="nothing"/>
      <w:lvlText w:val="%1、"/>
      <w:lvlJc w:val="left"/>
      <w:rPr>
        <w:rFonts w:hint="eastAsia"/>
      </w:rPr>
    </w:lvl>
  </w:abstractNum>
  <w:abstractNum w:abstractNumId="5">
    <w:nsid w:val="ABDBBC02"/>
    <w:multiLevelType w:val="singleLevel"/>
    <w:tmpl w:val="ABDBBC02"/>
    <w:lvl w:ilvl="0" w:tentative="0">
      <w:start w:val="1"/>
      <w:numFmt w:val="decimal"/>
      <w:suff w:val="nothing"/>
      <w:lvlText w:val="%1．"/>
      <w:lvlJc w:val="left"/>
      <w:pPr>
        <w:tabs>
          <w:tab w:val="left" w:pos="0"/>
        </w:tabs>
        <w:ind w:left="0" w:firstLine="403"/>
      </w:pPr>
      <w:rPr>
        <w:rFonts w:hint="default"/>
      </w:rPr>
    </w:lvl>
  </w:abstractNum>
  <w:abstractNum w:abstractNumId="6">
    <w:nsid w:val="CD0D5B82"/>
    <w:multiLevelType w:val="singleLevel"/>
    <w:tmpl w:val="CD0D5B82"/>
    <w:lvl w:ilvl="0" w:tentative="0">
      <w:start w:val="1"/>
      <w:numFmt w:val="decimal"/>
      <w:suff w:val="nothing"/>
      <w:lvlText w:val="%1．"/>
      <w:lvlJc w:val="left"/>
      <w:pPr>
        <w:tabs>
          <w:tab w:val="left" w:pos="0"/>
        </w:tabs>
        <w:ind w:left="0" w:firstLine="403"/>
      </w:pPr>
      <w:rPr>
        <w:rFonts w:hint="default"/>
      </w:rPr>
    </w:lvl>
  </w:abstractNum>
  <w:abstractNum w:abstractNumId="7">
    <w:nsid w:val="D3BF937E"/>
    <w:multiLevelType w:val="singleLevel"/>
    <w:tmpl w:val="D3BF937E"/>
    <w:lvl w:ilvl="0" w:tentative="0">
      <w:start w:val="1"/>
      <w:numFmt w:val="decimal"/>
      <w:suff w:val="nothing"/>
      <w:lvlText w:val="%1．"/>
      <w:lvlJc w:val="left"/>
      <w:pPr>
        <w:tabs>
          <w:tab w:val="left" w:pos="0"/>
        </w:tabs>
        <w:ind w:left="0" w:firstLine="403"/>
      </w:pPr>
      <w:rPr>
        <w:rFonts w:hint="default"/>
      </w:rPr>
    </w:lvl>
  </w:abstractNum>
  <w:abstractNum w:abstractNumId="8">
    <w:nsid w:val="D8B3F1B8"/>
    <w:multiLevelType w:val="singleLevel"/>
    <w:tmpl w:val="D8B3F1B8"/>
    <w:lvl w:ilvl="0" w:tentative="0">
      <w:start w:val="1"/>
      <w:numFmt w:val="decimal"/>
      <w:suff w:val="nothing"/>
      <w:lvlText w:val="%1．"/>
      <w:lvlJc w:val="left"/>
      <w:pPr>
        <w:tabs>
          <w:tab w:val="left" w:pos="0"/>
        </w:tabs>
        <w:ind w:left="0" w:firstLine="403"/>
      </w:pPr>
      <w:rPr>
        <w:rFonts w:hint="default"/>
      </w:rPr>
    </w:lvl>
  </w:abstractNum>
  <w:abstractNum w:abstractNumId="9">
    <w:nsid w:val="E2752C80"/>
    <w:multiLevelType w:val="singleLevel"/>
    <w:tmpl w:val="E2752C80"/>
    <w:lvl w:ilvl="0" w:tentative="0">
      <w:start w:val="1"/>
      <w:numFmt w:val="decimal"/>
      <w:lvlText w:val="%1."/>
      <w:lvlJc w:val="left"/>
      <w:pPr>
        <w:ind w:left="425" w:hanging="425"/>
      </w:pPr>
      <w:rPr>
        <w:rFonts w:hint="default"/>
      </w:rPr>
    </w:lvl>
  </w:abstractNum>
  <w:abstractNum w:abstractNumId="10">
    <w:nsid w:val="E68530C7"/>
    <w:multiLevelType w:val="singleLevel"/>
    <w:tmpl w:val="E68530C7"/>
    <w:lvl w:ilvl="0" w:tentative="0">
      <w:start w:val="1"/>
      <w:numFmt w:val="decimal"/>
      <w:suff w:val="nothing"/>
      <w:lvlText w:val="%1．"/>
      <w:lvlJc w:val="left"/>
      <w:pPr>
        <w:ind w:left="-20" w:firstLine="400"/>
      </w:pPr>
      <w:rPr>
        <w:rFonts w:hint="default"/>
      </w:rPr>
    </w:lvl>
  </w:abstractNum>
  <w:abstractNum w:abstractNumId="11">
    <w:nsid w:val="EFEA0307"/>
    <w:multiLevelType w:val="singleLevel"/>
    <w:tmpl w:val="EFEA0307"/>
    <w:lvl w:ilvl="0" w:tentative="0">
      <w:start w:val="1"/>
      <w:numFmt w:val="decimal"/>
      <w:suff w:val="nothing"/>
      <w:lvlText w:val="%1．"/>
      <w:lvlJc w:val="left"/>
      <w:pPr>
        <w:tabs>
          <w:tab w:val="left" w:pos="0"/>
        </w:tabs>
        <w:ind w:left="0" w:firstLine="403"/>
      </w:pPr>
      <w:rPr>
        <w:rFonts w:hint="default"/>
      </w:rPr>
    </w:lvl>
  </w:abstractNum>
  <w:abstractNum w:abstractNumId="12">
    <w:nsid w:val="F392417C"/>
    <w:multiLevelType w:val="singleLevel"/>
    <w:tmpl w:val="F392417C"/>
    <w:lvl w:ilvl="0" w:tentative="0">
      <w:start w:val="4"/>
      <w:numFmt w:val="decimal"/>
      <w:suff w:val="nothing"/>
      <w:lvlText w:val="（%1）"/>
      <w:lvlJc w:val="left"/>
    </w:lvl>
  </w:abstractNum>
  <w:abstractNum w:abstractNumId="13">
    <w:nsid w:val="F40025B9"/>
    <w:multiLevelType w:val="singleLevel"/>
    <w:tmpl w:val="F40025B9"/>
    <w:lvl w:ilvl="0" w:tentative="0">
      <w:start w:val="1"/>
      <w:numFmt w:val="decimal"/>
      <w:lvlText w:val="(%1)"/>
      <w:lvlJc w:val="left"/>
      <w:pPr>
        <w:tabs>
          <w:tab w:val="left" w:pos="420"/>
        </w:tabs>
        <w:ind w:left="0" w:firstLine="347"/>
      </w:pPr>
      <w:rPr>
        <w:rFonts w:hint="default"/>
      </w:rPr>
    </w:lvl>
  </w:abstractNum>
  <w:abstractNum w:abstractNumId="14">
    <w:nsid w:val="FB9BBB24"/>
    <w:multiLevelType w:val="singleLevel"/>
    <w:tmpl w:val="FB9BBB24"/>
    <w:lvl w:ilvl="0" w:tentative="0">
      <w:start w:val="1"/>
      <w:numFmt w:val="chineseCounting"/>
      <w:suff w:val="nothing"/>
      <w:lvlText w:val="（%1）"/>
      <w:lvlJc w:val="left"/>
      <w:pPr>
        <w:ind w:left="-403" w:firstLine="420"/>
      </w:pPr>
      <w:rPr>
        <w:rFonts w:hint="eastAsia"/>
      </w:rPr>
    </w:lvl>
  </w:abstractNum>
  <w:abstractNum w:abstractNumId="15">
    <w:nsid w:val="08DA4E5F"/>
    <w:multiLevelType w:val="multilevel"/>
    <w:tmpl w:val="08DA4E5F"/>
    <w:lvl w:ilvl="0" w:tentative="0">
      <w:start w:val="1"/>
      <w:numFmt w:val="japaneseCounting"/>
      <w:pStyle w:val="20"/>
      <w:lvlText w:val="%1，"/>
      <w:lvlJc w:val="left"/>
      <w:pPr>
        <w:ind w:left="1290" w:hanging="720"/>
      </w:pPr>
      <w:rPr>
        <w:rFonts w:cs="Arial Unicode MS" w:asciiTheme="minorHAnsi" w:hAnsiTheme="minorHAnsi" w:eastAsiaTheme="minorEastAsia"/>
        <w:b/>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6">
    <w:nsid w:val="0935FE24"/>
    <w:multiLevelType w:val="singleLevel"/>
    <w:tmpl w:val="0935FE24"/>
    <w:lvl w:ilvl="0" w:tentative="0">
      <w:start w:val="1"/>
      <w:numFmt w:val="chineseCounting"/>
      <w:suff w:val="nothing"/>
      <w:lvlText w:val="（%1）"/>
      <w:lvlJc w:val="left"/>
      <w:rPr>
        <w:rFonts w:hint="eastAsia"/>
      </w:rPr>
    </w:lvl>
  </w:abstractNum>
  <w:abstractNum w:abstractNumId="17">
    <w:nsid w:val="1163453B"/>
    <w:multiLevelType w:val="multilevel"/>
    <w:tmpl w:val="116345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2757854"/>
    <w:multiLevelType w:val="singleLevel"/>
    <w:tmpl w:val="22757854"/>
    <w:lvl w:ilvl="0" w:tentative="0">
      <w:start w:val="1"/>
      <w:numFmt w:val="decimal"/>
      <w:suff w:val="nothing"/>
      <w:lvlText w:val="%1．"/>
      <w:lvlJc w:val="left"/>
      <w:pPr>
        <w:tabs>
          <w:tab w:val="left" w:pos="0"/>
        </w:tabs>
        <w:ind w:left="0" w:firstLine="403"/>
      </w:pPr>
      <w:rPr>
        <w:rFonts w:hint="default"/>
      </w:rPr>
    </w:lvl>
  </w:abstractNum>
  <w:abstractNum w:abstractNumId="19">
    <w:nsid w:val="23D34B1A"/>
    <w:multiLevelType w:val="singleLevel"/>
    <w:tmpl w:val="23D34B1A"/>
    <w:lvl w:ilvl="0" w:tentative="0">
      <w:start w:val="1"/>
      <w:numFmt w:val="decimal"/>
      <w:suff w:val="nothing"/>
      <w:lvlText w:val="%1．"/>
      <w:lvlJc w:val="left"/>
      <w:pPr>
        <w:tabs>
          <w:tab w:val="left" w:pos="0"/>
        </w:tabs>
        <w:ind w:left="0" w:firstLine="403"/>
      </w:pPr>
      <w:rPr>
        <w:rFonts w:hint="default"/>
      </w:rPr>
    </w:lvl>
  </w:abstractNum>
  <w:abstractNum w:abstractNumId="20">
    <w:nsid w:val="23F11C7D"/>
    <w:multiLevelType w:val="singleLevel"/>
    <w:tmpl w:val="23F11C7D"/>
    <w:lvl w:ilvl="0" w:tentative="0">
      <w:start w:val="1"/>
      <w:numFmt w:val="chineseCounting"/>
      <w:suff w:val="nothing"/>
      <w:lvlText w:val="（%1）"/>
      <w:lvlJc w:val="left"/>
      <w:rPr>
        <w:rFonts w:hint="eastAsia"/>
      </w:rPr>
    </w:lvl>
  </w:abstractNum>
  <w:abstractNum w:abstractNumId="21">
    <w:nsid w:val="2A1411BE"/>
    <w:multiLevelType w:val="singleLevel"/>
    <w:tmpl w:val="2A1411BE"/>
    <w:lvl w:ilvl="0" w:tentative="0">
      <w:start w:val="1"/>
      <w:numFmt w:val="decimal"/>
      <w:suff w:val="nothing"/>
      <w:lvlText w:val="%1．"/>
      <w:lvlJc w:val="left"/>
      <w:pPr>
        <w:tabs>
          <w:tab w:val="left" w:pos="0"/>
        </w:tabs>
        <w:ind w:left="0" w:firstLine="403"/>
      </w:pPr>
      <w:rPr>
        <w:rFonts w:hint="default"/>
      </w:rPr>
    </w:lvl>
  </w:abstractNum>
  <w:abstractNum w:abstractNumId="22">
    <w:nsid w:val="35B619F7"/>
    <w:multiLevelType w:val="singleLevel"/>
    <w:tmpl w:val="35B619F7"/>
    <w:lvl w:ilvl="0" w:tentative="0">
      <w:start w:val="1"/>
      <w:numFmt w:val="decimal"/>
      <w:suff w:val="nothing"/>
      <w:lvlText w:val="%1．"/>
      <w:lvlJc w:val="left"/>
      <w:pPr>
        <w:tabs>
          <w:tab w:val="left" w:pos="0"/>
        </w:tabs>
        <w:ind w:left="0" w:firstLine="403"/>
      </w:pPr>
      <w:rPr>
        <w:rFonts w:hint="default"/>
      </w:rPr>
    </w:lvl>
  </w:abstractNum>
  <w:abstractNum w:abstractNumId="23">
    <w:nsid w:val="400A3760"/>
    <w:multiLevelType w:val="singleLevel"/>
    <w:tmpl w:val="400A3760"/>
    <w:lvl w:ilvl="0" w:tentative="0">
      <w:start w:val="1"/>
      <w:numFmt w:val="chineseCounting"/>
      <w:suff w:val="nothing"/>
      <w:lvlText w:val="（%1）"/>
      <w:lvlJc w:val="left"/>
      <w:rPr>
        <w:rFonts w:hint="eastAsia"/>
      </w:rPr>
    </w:lvl>
  </w:abstractNum>
  <w:abstractNum w:abstractNumId="24">
    <w:nsid w:val="5F85E4CF"/>
    <w:multiLevelType w:val="singleLevel"/>
    <w:tmpl w:val="5F85E4CF"/>
    <w:lvl w:ilvl="0" w:tentative="0">
      <w:start w:val="1"/>
      <w:numFmt w:val="decimalEnclosedCircleChinese"/>
      <w:suff w:val="nothing"/>
      <w:lvlText w:val="%1　"/>
      <w:lvlJc w:val="left"/>
      <w:pPr>
        <w:ind w:left="0" w:firstLine="454"/>
      </w:pPr>
      <w:rPr>
        <w:rFonts w:hint="eastAsia"/>
      </w:rPr>
    </w:lvl>
  </w:abstractNum>
  <w:abstractNum w:abstractNumId="25">
    <w:nsid w:val="61F4B0F9"/>
    <w:multiLevelType w:val="singleLevel"/>
    <w:tmpl w:val="61F4B0F9"/>
    <w:lvl w:ilvl="0" w:tentative="0">
      <w:start w:val="1"/>
      <w:numFmt w:val="decimal"/>
      <w:suff w:val="nothing"/>
      <w:lvlText w:val="%1．"/>
      <w:lvlJc w:val="left"/>
      <w:pPr>
        <w:tabs>
          <w:tab w:val="left" w:pos="0"/>
        </w:tabs>
        <w:ind w:left="0" w:firstLine="403"/>
      </w:pPr>
      <w:rPr>
        <w:rFonts w:hint="default"/>
      </w:rPr>
    </w:lvl>
  </w:abstractNum>
  <w:abstractNum w:abstractNumId="26">
    <w:nsid w:val="6571E64F"/>
    <w:multiLevelType w:val="singleLevel"/>
    <w:tmpl w:val="6571E64F"/>
    <w:lvl w:ilvl="0" w:tentative="0">
      <w:start w:val="1"/>
      <w:numFmt w:val="decimal"/>
      <w:suff w:val="nothing"/>
      <w:lvlText w:val="%1．"/>
      <w:lvlJc w:val="left"/>
      <w:pPr>
        <w:tabs>
          <w:tab w:val="left" w:pos="0"/>
        </w:tabs>
        <w:ind w:left="0" w:firstLine="403"/>
      </w:pPr>
      <w:rPr>
        <w:rFonts w:hint="default"/>
      </w:rPr>
    </w:lvl>
  </w:abstractNum>
  <w:abstractNum w:abstractNumId="27">
    <w:nsid w:val="683F4010"/>
    <w:multiLevelType w:val="singleLevel"/>
    <w:tmpl w:val="683F4010"/>
    <w:lvl w:ilvl="0" w:tentative="0">
      <w:start w:val="1"/>
      <w:numFmt w:val="chineseCounting"/>
      <w:suff w:val="nothing"/>
      <w:lvlText w:val="（%1）"/>
      <w:lvlJc w:val="left"/>
      <w:pPr>
        <w:ind w:left="0" w:firstLine="420"/>
      </w:pPr>
      <w:rPr>
        <w:rFonts w:hint="eastAsia"/>
      </w:rPr>
    </w:lvl>
  </w:abstractNum>
  <w:abstractNum w:abstractNumId="28">
    <w:nsid w:val="6DB92B6F"/>
    <w:multiLevelType w:val="singleLevel"/>
    <w:tmpl w:val="6DB92B6F"/>
    <w:lvl w:ilvl="0" w:tentative="0">
      <w:start w:val="1"/>
      <w:numFmt w:val="chineseCounting"/>
      <w:suff w:val="nothing"/>
      <w:lvlText w:val="（%1）"/>
      <w:lvlJc w:val="left"/>
      <w:pPr>
        <w:ind w:left="0" w:firstLine="420"/>
      </w:pPr>
      <w:rPr>
        <w:rFonts w:hint="eastAsia"/>
      </w:rPr>
    </w:lvl>
  </w:abstractNum>
  <w:abstractNum w:abstractNumId="29">
    <w:nsid w:val="70ECC9E6"/>
    <w:multiLevelType w:val="singleLevel"/>
    <w:tmpl w:val="70ECC9E6"/>
    <w:lvl w:ilvl="0" w:tentative="0">
      <w:start w:val="1"/>
      <w:numFmt w:val="decimal"/>
      <w:suff w:val="nothing"/>
      <w:lvlText w:val="%1．"/>
      <w:lvlJc w:val="left"/>
      <w:pPr>
        <w:tabs>
          <w:tab w:val="left" w:pos="0"/>
        </w:tabs>
        <w:ind w:left="0" w:firstLine="403"/>
      </w:pPr>
      <w:rPr>
        <w:rFonts w:hint="default"/>
      </w:rPr>
    </w:lvl>
  </w:abstractNum>
  <w:abstractNum w:abstractNumId="30">
    <w:nsid w:val="7DF03BAB"/>
    <w:multiLevelType w:val="singleLevel"/>
    <w:tmpl w:val="7DF03BAB"/>
    <w:lvl w:ilvl="0" w:tentative="0">
      <w:start w:val="1"/>
      <w:numFmt w:val="decimal"/>
      <w:suff w:val="nothing"/>
      <w:lvlText w:val="%1．"/>
      <w:lvlJc w:val="left"/>
      <w:pPr>
        <w:ind w:left="0" w:firstLine="400"/>
      </w:pPr>
      <w:rPr>
        <w:rFonts w:hint="default"/>
      </w:rPr>
    </w:lvl>
  </w:abstractNum>
  <w:abstractNum w:abstractNumId="31">
    <w:nsid w:val="7FED3A6C"/>
    <w:multiLevelType w:val="singleLevel"/>
    <w:tmpl w:val="7FED3A6C"/>
    <w:lvl w:ilvl="0" w:tentative="0">
      <w:start w:val="1"/>
      <w:numFmt w:val="decimal"/>
      <w:suff w:val="nothing"/>
      <w:lvlText w:val="%1．"/>
      <w:lvlJc w:val="left"/>
      <w:pPr>
        <w:tabs>
          <w:tab w:val="left" w:pos="0"/>
        </w:tabs>
        <w:ind w:left="0" w:firstLine="403"/>
      </w:pPr>
      <w:rPr>
        <w:rFonts w:hint="default"/>
      </w:rPr>
    </w:lvl>
  </w:abstractNum>
  <w:num w:numId="1">
    <w:abstractNumId w:val="15"/>
  </w:num>
  <w:num w:numId="2">
    <w:abstractNumId w:val="4"/>
  </w:num>
  <w:num w:numId="3">
    <w:abstractNumId w:val="17"/>
  </w:num>
  <w:num w:numId="4">
    <w:abstractNumId w:val="30"/>
  </w:num>
  <w:num w:numId="5">
    <w:abstractNumId w:val="10"/>
  </w:num>
  <w:num w:numId="6">
    <w:abstractNumId w:val="0"/>
  </w:num>
  <w:num w:numId="7">
    <w:abstractNumId w:val="14"/>
  </w:num>
  <w:num w:numId="8">
    <w:abstractNumId w:val="2"/>
  </w:num>
  <w:num w:numId="9">
    <w:abstractNumId w:val="19"/>
  </w:num>
  <w:num w:numId="10">
    <w:abstractNumId w:val="20"/>
  </w:num>
  <w:num w:numId="11">
    <w:abstractNumId w:val="28"/>
  </w:num>
  <w:num w:numId="12">
    <w:abstractNumId w:val="21"/>
  </w:num>
  <w:num w:numId="13">
    <w:abstractNumId w:val="16"/>
  </w:num>
  <w:num w:numId="14">
    <w:abstractNumId w:val="3"/>
  </w:num>
  <w:num w:numId="15">
    <w:abstractNumId w:val="22"/>
  </w:num>
  <w:num w:numId="16">
    <w:abstractNumId w:val="8"/>
  </w:num>
  <w:num w:numId="17">
    <w:abstractNumId w:val="26"/>
  </w:num>
  <w:num w:numId="18">
    <w:abstractNumId w:val="31"/>
  </w:num>
  <w:num w:numId="19">
    <w:abstractNumId w:val="6"/>
  </w:num>
  <w:num w:numId="20">
    <w:abstractNumId w:val="7"/>
  </w:num>
  <w:num w:numId="21">
    <w:abstractNumId w:val="11"/>
  </w:num>
  <w:num w:numId="22">
    <w:abstractNumId w:val="13"/>
  </w:num>
  <w:num w:numId="23">
    <w:abstractNumId w:val="1"/>
  </w:num>
  <w:num w:numId="24">
    <w:abstractNumId w:val="24"/>
  </w:num>
  <w:num w:numId="25">
    <w:abstractNumId w:val="25"/>
  </w:num>
  <w:num w:numId="26">
    <w:abstractNumId w:val="18"/>
  </w:num>
  <w:num w:numId="27">
    <w:abstractNumId w:val="5"/>
  </w:num>
  <w:num w:numId="28">
    <w:abstractNumId w:val="29"/>
  </w:num>
  <w:num w:numId="29">
    <w:abstractNumId w:val="23"/>
  </w:num>
  <w:num w:numId="30">
    <w:abstractNumId w:val="9"/>
  </w:num>
  <w:num w:numId="31">
    <w:abstractNumId w:val="2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YjUzNmJiNGMzZjAwNTE2ODRjOThlYjQ0MjhmYjMifQ=="/>
  </w:docVars>
  <w:rsids>
    <w:rsidRoot w:val="009E6036"/>
    <w:rsid w:val="0000783A"/>
    <w:rsid w:val="00096935"/>
    <w:rsid w:val="000D281F"/>
    <w:rsid w:val="00156829"/>
    <w:rsid w:val="001D118F"/>
    <w:rsid w:val="002412A0"/>
    <w:rsid w:val="00247343"/>
    <w:rsid w:val="0026296F"/>
    <w:rsid w:val="00322F46"/>
    <w:rsid w:val="00381797"/>
    <w:rsid w:val="004C0F32"/>
    <w:rsid w:val="004F3ABC"/>
    <w:rsid w:val="004F40A3"/>
    <w:rsid w:val="00500B30"/>
    <w:rsid w:val="005102B0"/>
    <w:rsid w:val="005B5153"/>
    <w:rsid w:val="0061095F"/>
    <w:rsid w:val="00664405"/>
    <w:rsid w:val="006D5E79"/>
    <w:rsid w:val="0070511F"/>
    <w:rsid w:val="00721299"/>
    <w:rsid w:val="007B4717"/>
    <w:rsid w:val="00834F6A"/>
    <w:rsid w:val="00840969"/>
    <w:rsid w:val="008B5DD4"/>
    <w:rsid w:val="00936024"/>
    <w:rsid w:val="009E6036"/>
    <w:rsid w:val="009F6D74"/>
    <w:rsid w:val="00A3757F"/>
    <w:rsid w:val="00A715B3"/>
    <w:rsid w:val="00AD5C48"/>
    <w:rsid w:val="00AF1C87"/>
    <w:rsid w:val="00AF33FC"/>
    <w:rsid w:val="00B036EE"/>
    <w:rsid w:val="00B10431"/>
    <w:rsid w:val="00B11F20"/>
    <w:rsid w:val="00B5623C"/>
    <w:rsid w:val="00B8083B"/>
    <w:rsid w:val="00BB770E"/>
    <w:rsid w:val="00BC7850"/>
    <w:rsid w:val="00BF0B76"/>
    <w:rsid w:val="00BF1943"/>
    <w:rsid w:val="00C03EEE"/>
    <w:rsid w:val="00C601E8"/>
    <w:rsid w:val="00C70411"/>
    <w:rsid w:val="00D76E9C"/>
    <w:rsid w:val="00DB68DD"/>
    <w:rsid w:val="00E0052A"/>
    <w:rsid w:val="00E66E03"/>
    <w:rsid w:val="00EB0FED"/>
    <w:rsid w:val="00F14C1E"/>
    <w:rsid w:val="00F16DE3"/>
    <w:rsid w:val="00F22318"/>
    <w:rsid w:val="00F3382C"/>
    <w:rsid w:val="00F52F5C"/>
    <w:rsid w:val="00F63A3B"/>
    <w:rsid w:val="00F70C92"/>
    <w:rsid w:val="02C92423"/>
    <w:rsid w:val="02EB4148"/>
    <w:rsid w:val="037E4FBC"/>
    <w:rsid w:val="039B5B6E"/>
    <w:rsid w:val="03A32C74"/>
    <w:rsid w:val="040B370C"/>
    <w:rsid w:val="05791EDF"/>
    <w:rsid w:val="05A75060"/>
    <w:rsid w:val="05BB42A5"/>
    <w:rsid w:val="06112F3F"/>
    <w:rsid w:val="0629533F"/>
    <w:rsid w:val="075A189C"/>
    <w:rsid w:val="07ED44BE"/>
    <w:rsid w:val="0891753F"/>
    <w:rsid w:val="09CA3CFF"/>
    <w:rsid w:val="09E518F1"/>
    <w:rsid w:val="0C7E3415"/>
    <w:rsid w:val="0D4E1EA3"/>
    <w:rsid w:val="0E7C47EE"/>
    <w:rsid w:val="12260374"/>
    <w:rsid w:val="12CD386A"/>
    <w:rsid w:val="130152C1"/>
    <w:rsid w:val="1404191D"/>
    <w:rsid w:val="152A4FA3"/>
    <w:rsid w:val="1557566D"/>
    <w:rsid w:val="16AE2C0B"/>
    <w:rsid w:val="175E0F34"/>
    <w:rsid w:val="18716A45"/>
    <w:rsid w:val="18722EE9"/>
    <w:rsid w:val="189E0581"/>
    <w:rsid w:val="18EF6DE1"/>
    <w:rsid w:val="198509FA"/>
    <w:rsid w:val="19856C4C"/>
    <w:rsid w:val="19E971DB"/>
    <w:rsid w:val="1A2F216B"/>
    <w:rsid w:val="1A8C400A"/>
    <w:rsid w:val="1AE31E7C"/>
    <w:rsid w:val="1B8F3DB2"/>
    <w:rsid w:val="1BDC3C17"/>
    <w:rsid w:val="1BDD2D6F"/>
    <w:rsid w:val="1BF65BDF"/>
    <w:rsid w:val="1F256530"/>
    <w:rsid w:val="1F9964EA"/>
    <w:rsid w:val="209634ED"/>
    <w:rsid w:val="209F318A"/>
    <w:rsid w:val="22372AAE"/>
    <w:rsid w:val="23E25895"/>
    <w:rsid w:val="24082954"/>
    <w:rsid w:val="24253506"/>
    <w:rsid w:val="243C5B96"/>
    <w:rsid w:val="251B66B7"/>
    <w:rsid w:val="2560231B"/>
    <w:rsid w:val="25B54415"/>
    <w:rsid w:val="269A360B"/>
    <w:rsid w:val="27A209C9"/>
    <w:rsid w:val="2A187669"/>
    <w:rsid w:val="2A776470"/>
    <w:rsid w:val="2B1E5F3E"/>
    <w:rsid w:val="2B394FA2"/>
    <w:rsid w:val="2DEF06E0"/>
    <w:rsid w:val="2ECD0A22"/>
    <w:rsid w:val="2FC040E2"/>
    <w:rsid w:val="2FFF10AF"/>
    <w:rsid w:val="302208F9"/>
    <w:rsid w:val="306E1D90"/>
    <w:rsid w:val="30915A7F"/>
    <w:rsid w:val="30EB518F"/>
    <w:rsid w:val="31C61758"/>
    <w:rsid w:val="31D9148B"/>
    <w:rsid w:val="321D3A6E"/>
    <w:rsid w:val="32C75788"/>
    <w:rsid w:val="333077D1"/>
    <w:rsid w:val="33A76A01"/>
    <w:rsid w:val="345474EF"/>
    <w:rsid w:val="35F0065A"/>
    <w:rsid w:val="35FC5066"/>
    <w:rsid w:val="36356021"/>
    <w:rsid w:val="363B2715"/>
    <w:rsid w:val="368F0CB2"/>
    <w:rsid w:val="37067538"/>
    <w:rsid w:val="37A95DA4"/>
    <w:rsid w:val="37E72B15"/>
    <w:rsid w:val="39E84962"/>
    <w:rsid w:val="3A2B0CF2"/>
    <w:rsid w:val="3AEF1D20"/>
    <w:rsid w:val="3B8C3252"/>
    <w:rsid w:val="3BEF2035"/>
    <w:rsid w:val="3D734CA5"/>
    <w:rsid w:val="3DE713D4"/>
    <w:rsid w:val="3F52287D"/>
    <w:rsid w:val="40A96A99"/>
    <w:rsid w:val="41874A60"/>
    <w:rsid w:val="419E624E"/>
    <w:rsid w:val="42CB3072"/>
    <w:rsid w:val="42E83C24"/>
    <w:rsid w:val="433E1DB5"/>
    <w:rsid w:val="43580B3B"/>
    <w:rsid w:val="44AF664C"/>
    <w:rsid w:val="47712BB0"/>
    <w:rsid w:val="485F6737"/>
    <w:rsid w:val="4AEE3163"/>
    <w:rsid w:val="4B4B2FA2"/>
    <w:rsid w:val="4BD034A7"/>
    <w:rsid w:val="4D0372B7"/>
    <w:rsid w:val="4E797E26"/>
    <w:rsid w:val="4F8B7E11"/>
    <w:rsid w:val="50901457"/>
    <w:rsid w:val="50C8299F"/>
    <w:rsid w:val="5248023B"/>
    <w:rsid w:val="52C5730C"/>
    <w:rsid w:val="536C61AC"/>
    <w:rsid w:val="53A953A4"/>
    <w:rsid w:val="541462C0"/>
    <w:rsid w:val="55012924"/>
    <w:rsid w:val="56576C9F"/>
    <w:rsid w:val="57853398"/>
    <w:rsid w:val="57E502DB"/>
    <w:rsid w:val="59B553AB"/>
    <w:rsid w:val="5A3D61AC"/>
    <w:rsid w:val="5A9457E3"/>
    <w:rsid w:val="5AC95C92"/>
    <w:rsid w:val="5C7165E1"/>
    <w:rsid w:val="5C8E0F41"/>
    <w:rsid w:val="5D9701E1"/>
    <w:rsid w:val="5F1C0A86"/>
    <w:rsid w:val="5FA1683D"/>
    <w:rsid w:val="637661C5"/>
    <w:rsid w:val="638253D5"/>
    <w:rsid w:val="63D175AC"/>
    <w:rsid w:val="64373C6C"/>
    <w:rsid w:val="64460353"/>
    <w:rsid w:val="648F5856"/>
    <w:rsid w:val="64AF5EF8"/>
    <w:rsid w:val="682B3AE8"/>
    <w:rsid w:val="69A66667"/>
    <w:rsid w:val="69C41B54"/>
    <w:rsid w:val="6A5C61DA"/>
    <w:rsid w:val="6ABF6E82"/>
    <w:rsid w:val="6B8E4AB9"/>
    <w:rsid w:val="6B901CAE"/>
    <w:rsid w:val="6C150D37"/>
    <w:rsid w:val="6CF22E26"/>
    <w:rsid w:val="6DD864C0"/>
    <w:rsid w:val="6DE44E65"/>
    <w:rsid w:val="6E313E22"/>
    <w:rsid w:val="6F3B6D06"/>
    <w:rsid w:val="70455963"/>
    <w:rsid w:val="704A6FC5"/>
    <w:rsid w:val="71C971CF"/>
    <w:rsid w:val="71CB1CAF"/>
    <w:rsid w:val="72832DE0"/>
    <w:rsid w:val="730833A3"/>
    <w:rsid w:val="7329331A"/>
    <w:rsid w:val="734D7008"/>
    <w:rsid w:val="73833E74"/>
    <w:rsid w:val="744909D2"/>
    <w:rsid w:val="74D80B53"/>
    <w:rsid w:val="75907313"/>
    <w:rsid w:val="75917A83"/>
    <w:rsid w:val="768C42EB"/>
    <w:rsid w:val="77640845"/>
    <w:rsid w:val="79AD6A52"/>
    <w:rsid w:val="79BD2A0E"/>
    <w:rsid w:val="7A0348C4"/>
    <w:rsid w:val="7A42348A"/>
    <w:rsid w:val="7A733721"/>
    <w:rsid w:val="7B1437F5"/>
    <w:rsid w:val="7D366D5F"/>
    <w:rsid w:val="7D7358BD"/>
    <w:rsid w:val="7DCD7520"/>
    <w:rsid w:val="7E7062A0"/>
    <w:rsid w:val="7F2350C1"/>
    <w:rsid w:val="7FEF5E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340" w:lineRule="exact"/>
      <w:ind w:left="-840" w:leftChars="-400"/>
      <w:outlineLvl w:val="0"/>
    </w:pPr>
    <w:rPr>
      <w:rFonts w:ascii="Times New Roman" w:hAnsi="Times New Roman" w:eastAsia="创艺繁宋体" w:cs="Times New Roman"/>
      <w:b/>
      <w:kern w:val="44"/>
      <w:sz w:val="28"/>
      <w:szCs w:val="20"/>
    </w:rPr>
  </w:style>
  <w:style w:type="paragraph" w:styleId="3">
    <w:name w:val="heading 2"/>
    <w:basedOn w:val="1"/>
    <w:next w:val="1"/>
    <w:link w:val="24"/>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semiHidden/>
    <w:unhideWhenUsed/>
    <w:qFormat/>
    <w:uiPriority w:val="99"/>
    <w:pPr>
      <w:jc w:val="left"/>
    </w:pPr>
  </w:style>
  <w:style w:type="paragraph" w:styleId="6">
    <w:name w:val="Salutation"/>
    <w:basedOn w:val="1"/>
    <w:next w:val="1"/>
    <w:link w:val="28"/>
    <w:qFormat/>
    <w:uiPriority w:val="0"/>
    <w:rPr>
      <w:rFonts w:ascii="Times New Roman" w:hAnsi="Times New Roman" w:eastAsia="创艺繁宋体" w:cs="Times New Roman"/>
      <w:szCs w:val="24"/>
    </w:rPr>
  </w:style>
  <w:style w:type="paragraph" w:styleId="7">
    <w:name w:val="Body Text Indent 2"/>
    <w:basedOn w:val="1"/>
    <w:link w:val="26"/>
    <w:qFormat/>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18"/>
    <w:unhideWhenUsed/>
    <w:qFormat/>
    <w:uiPriority w:val="0"/>
    <w:rPr>
      <w:sz w:val="18"/>
      <w:szCs w:val="18"/>
    </w:rPr>
  </w:style>
  <w:style w:type="paragraph" w:styleId="9">
    <w:name w:val="footer"/>
    <w:basedOn w:val="1"/>
    <w:link w:val="17"/>
    <w:unhideWhenUsed/>
    <w:qFormat/>
    <w:uiPriority w:val="0"/>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2">
    <w:name w:val="Normal (Web)"/>
    <w:basedOn w:val="1"/>
    <w:qFormat/>
    <w:uiPriority w:val="0"/>
    <w:rPr>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basedOn w:val="15"/>
    <w:link w:val="10"/>
    <w:qFormat/>
    <w:uiPriority w:val="99"/>
    <w:rPr>
      <w:sz w:val="18"/>
      <w:szCs w:val="18"/>
    </w:rPr>
  </w:style>
  <w:style w:type="character" w:customStyle="1" w:styleId="17">
    <w:name w:val="页脚 Char"/>
    <w:basedOn w:val="15"/>
    <w:link w:val="9"/>
    <w:qFormat/>
    <w:uiPriority w:val="0"/>
    <w:rPr>
      <w:sz w:val="18"/>
      <w:szCs w:val="18"/>
    </w:rPr>
  </w:style>
  <w:style w:type="character" w:customStyle="1" w:styleId="18">
    <w:name w:val="批注框文本 Char"/>
    <w:basedOn w:val="15"/>
    <w:link w:val="8"/>
    <w:qFormat/>
    <w:uiPriority w:val="0"/>
    <w:rPr>
      <w:sz w:val="18"/>
      <w:szCs w:val="18"/>
    </w:rPr>
  </w:style>
  <w:style w:type="paragraph" w:styleId="19">
    <w:name w:val="List Paragraph"/>
    <w:basedOn w:val="1"/>
    <w:qFormat/>
    <w:uiPriority w:val="34"/>
    <w:pPr>
      <w:ind w:firstLine="420" w:firstLineChars="200"/>
    </w:pPr>
  </w:style>
  <w:style w:type="paragraph" w:customStyle="1" w:styleId="20">
    <w:name w:val="Char Char Char Char"/>
    <w:basedOn w:val="1"/>
    <w:qFormat/>
    <w:uiPriority w:val="0"/>
    <w:pPr>
      <w:numPr>
        <w:ilvl w:val="0"/>
        <w:numId w:val="1"/>
      </w:numPr>
      <w:tabs>
        <w:tab w:val="left" w:pos="1095"/>
      </w:tabs>
    </w:pPr>
    <w:rPr>
      <w:rFonts w:ascii="Calibri" w:hAnsi="Calibri" w:eastAsia="宋体" w:cs="Times New Roman"/>
      <w:sz w:val="24"/>
      <w:szCs w:val="24"/>
    </w:rPr>
  </w:style>
  <w:style w:type="character" w:customStyle="1" w:styleId="21">
    <w:name w:val="font01"/>
    <w:basedOn w:val="15"/>
    <w:qFormat/>
    <w:uiPriority w:val="0"/>
    <w:rPr>
      <w:rFonts w:hint="eastAsia" w:ascii="宋体" w:hAnsi="宋体" w:eastAsia="宋体" w:cs="宋体"/>
      <w:b/>
      <w:bCs/>
      <w:color w:val="000000"/>
      <w:sz w:val="28"/>
      <w:szCs w:val="28"/>
      <w:u w:val="none"/>
    </w:rPr>
  </w:style>
  <w:style w:type="character" w:customStyle="1" w:styleId="22">
    <w:name w:val="font31"/>
    <w:basedOn w:val="15"/>
    <w:qFormat/>
    <w:uiPriority w:val="0"/>
    <w:rPr>
      <w:rFonts w:ascii="Calibri" w:hAnsi="Calibri" w:cs="Calibri"/>
      <w:b/>
      <w:bCs/>
      <w:color w:val="000000"/>
      <w:sz w:val="28"/>
      <w:szCs w:val="28"/>
      <w:u w:val="none"/>
    </w:rPr>
  </w:style>
  <w:style w:type="character" w:customStyle="1" w:styleId="23">
    <w:name w:val="标题 1 Char"/>
    <w:basedOn w:val="15"/>
    <w:link w:val="2"/>
    <w:qFormat/>
    <w:uiPriority w:val="0"/>
    <w:rPr>
      <w:rFonts w:eastAsia="创艺繁宋体"/>
      <w:b/>
      <w:kern w:val="44"/>
      <w:sz w:val="28"/>
    </w:rPr>
  </w:style>
  <w:style w:type="character" w:customStyle="1" w:styleId="24">
    <w:name w:val="标题 2 Char"/>
    <w:basedOn w:val="15"/>
    <w:link w:val="3"/>
    <w:semiHidden/>
    <w:qFormat/>
    <w:uiPriority w:val="0"/>
    <w:rPr>
      <w:rFonts w:ascii="Arial" w:hAnsi="Arial" w:eastAsia="黑体"/>
      <w:b/>
      <w:bCs/>
      <w:kern w:val="2"/>
      <w:sz w:val="32"/>
      <w:szCs w:val="32"/>
    </w:rPr>
  </w:style>
  <w:style w:type="character" w:customStyle="1" w:styleId="25">
    <w:name w:val="称呼 Char"/>
    <w:basedOn w:val="15"/>
    <w:link w:val="6"/>
    <w:qFormat/>
    <w:uiPriority w:val="0"/>
    <w:rPr>
      <w:rFonts w:asciiTheme="minorHAnsi" w:hAnsiTheme="minorHAnsi" w:eastAsiaTheme="minorEastAsia" w:cstheme="minorBidi"/>
      <w:kern w:val="2"/>
      <w:sz w:val="21"/>
      <w:szCs w:val="22"/>
    </w:rPr>
  </w:style>
  <w:style w:type="character" w:customStyle="1" w:styleId="26">
    <w:name w:val="正文文本缩进 2 Char"/>
    <w:basedOn w:val="15"/>
    <w:link w:val="7"/>
    <w:qFormat/>
    <w:uiPriority w:val="0"/>
    <w:rPr>
      <w:kern w:val="2"/>
      <w:sz w:val="21"/>
      <w:szCs w:val="24"/>
    </w:rPr>
  </w:style>
  <w:style w:type="character" w:customStyle="1" w:styleId="27">
    <w:name w:val="font11"/>
    <w:basedOn w:val="15"/>
    <w:qFormat/>
    <w:uiPriority w:val="0"/>
    <w:rPr>
      <w:rFonts w:hint="default" w:ascii="Tahoma" w:hAnsi="Tahoma" w:eastAsia="Tahoma" w:cs="Tahoma"/>
      <w:color w:val="000000"/>
      <w:sz w:val="24"/>
      <w:szCs w:val="24"/>
      <w:u w:val="none"/>
    </w:rPr>
  </w:style>
  <w:style w:type="character" w:customStyle="1" w:styleId="28">
    <w:name w:val="称呼 Char1"/>
    <w:basedOn w:val="15"/>
    <w:link w:val="6"/>
    <w:qFormat/>
    <w:uiPriority w:val="0"/>
    <w:rPr>
      <w:rFonts w:eastAsia="创艺繁宋体"/>
      <w:kern w:val="2"/>
      <w:sz w:val="21"/>
      <w:szCs w:val="24"/>
    </w:rPr>
  </w:style>
  <w:style w:type="character" w:customStyle="1" w:styleId="29">
    <w:name w:val="font51"/>
    <w:basedOn w:val="15"/>
    <w:qFormat/>
    <w:uiPriority w:val="0"/>
    <w:rPr>
      <w:rFonts w:hint="eastAsia" w:ascii="微软雅黑" w:hAnsi="微软雅黑" w:eastAsia="微软雅黑" w:cs="微软雅黑"/>
      <w:color w:val="auto"/>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19695</Words>
  <Characters>20409</Characters>
  <Lines>123</Lines>
  <Paragraphs>34</Paragraphs>
  <TotalTime>7</TotalTime>
  <ScaleCrop>false</ScaleCrop>
  <LinksUpToDate>false</LinksUpToDate>
  <CharactersWithSpaces>20863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2022-07-18T01:50:00Z</dcterms:created>
  <dc:creator>zws</dc:creator>
  <cp:lastModifiedBy>Administrator</cp:lastModifiedBy>
  <cp:lastPrinted>2017-11-14T01:52:00Z</cp:lastPrinted>
  <dcterms:modified xsi:type="dcterms:W3CDTF">2022-08-09T06:42:12Z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9B7ECB82D64C4A618B94F05F6986C0A8</vt:lpwstr>
  </property>
  <property fmtid="{D5CDD505-2E9C-101B-9397-08002B2CF9AE}" pid="4" name="commondata">
    <vt:lpwstr>eyJoZGlkIjoiYzdlYjUzNmJiNGMzZjAwNTE2ODRjOThlYjQ0MjhmYjMifQ==</vt:lpwstr>
  </property>
</Properties>
</file>