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480" w:lineRule="auto"/>
        <w:ind w:right="0" w:rightChars="0"/>
        <w:jc w:val="center"/>
        <w:rPr>
          <w:rFonts w:hint="eastAsia" w:ascii="仿宋" w:hAnsi="仿宋" w:eastAsia="仿宋" w:cs="仿宋"/>
          <w:b/>
          <w:bCs/>
          <w:color w:val="000000"/>
          <w:spacing w:val="-30"/>
          <w:sz w:val="44"/>
          <w:szCs w:val="44"/>
          <w:highlight w:val="none"/>
          <w:lang w:val="en-US" w:eastAsia="zh-CN"/>
        </w:rPr>
      </w:pPr>
    </w:p>
    <w:p>
      <w:pPr>
        <w:pStyle w:val="2"/>
        <w:rPr>
          <w:rFonts w:hint="eastAsia" w:ascii="仿宋" w:hAnsi="仿宋" w:eastAsia="仿宋" w:cs="仿宋"/>
          <w:b/>
          <w:bCs/>
          <w:color w:val="000000"/>
          <w:spacing w:val="-30"/>
          <w:sz w:val="44"/>
          <w:szCs w:val="44"/>
          <w:highlight w:val="none"/>
          <w:lang w:val="en-US" w:eastAsia="zh-CN"/>
        </w:rPr>
      </w:pPr>
    </w:p>
    <w:p>
      <w:pPr>
        <w:pStyle w:val="2"/>
        <w:rPr>
          <w:rFonts w:hint="eastAsia" w:ascii="仿宋" w:hAnsi="仿宋" w:eastAsia="仿宋" w:cs="仿宋"/>
          <w:b/>
          <w:bCs/>
          <w:color w:val="000000"/>
          <w:spacing w:val="-3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sz w:val="52"/>
          <w:szCs w:val="52"/>
          <w:lang w:val="en-US" w:eastAsia="zh-CN"/>
        </w:rPr>
      </w:pPr>
      <w:r>
        <w:rPr>
          <w:rFonts w:hint="eastAsia" w:ascii="仿宋" w:hAnsi="仿宋" w:eastAsia="仿宋" w:cs="仿宋"/>
          <w:b/>
          <w:sz w:val="52"/>
          <w:szCs w:val="52"/>
          <w:lang w:val="en-US" w:eastAsia="zh-CN"/>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医气正负压机组维保服务项目</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（第二次采购）</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仿宋" w:hAnsi="仿宋" w:eastAsia="仿宋" w:cs="仿宋"/>
          <w:b/>
          <w:sz w:val="52"/>
          <w:szCs w:val="52"/>
        </w:rPr>
      </w:pPr>
      <w:r>
        <w:rPr>
          <w:rFonts w:hint="eastAsia" w:ascii="仿宋" w:hAnsi="仿宋" w:eastAsia="仿宋" w:cs="仿宋"/>
          <w:b/>
          <w:sz w:val="52"/>
          <w:szCs w:val="52"/>
          <w:lang w:val="en-US" w:eastAsia="zh-CN"/>
        </w:rPr>
        <w:t>采购</w:t>
      </w:r>
      <w:r>
        <w:rPr>
          <w:rFonts w:hint="eastAsia" w:ascii="仿宋" w:hAnsi="仿宋" w:eastAsia="仿宋" w:cs="仿宋"/>
          <w:b/>
          <w:sz w:val="52"/>
          <w:szCs w:val="52"/>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default" w:ascii="仿宋" w:hAnsi="仿宋" w:eastAsia="仿宋" w:cs="仿宋"/>
          <w:b/>
          <w:sz w:val="44"/>
          <w:szCs w:val="44"/>
          <w:lang w:val="en-US" w:eastAsia="zh-CN"/>
        </w:rPr>
      </w:pPr>
      <w:r>
        <w:rPr>
          <w:rFonts w:hint="eastAsia" w:ascii="仿宋" w:hAnsi="仿宋" w:eastAsia="仿宋" w:cs="仿宋"/>
          <w:b/>
          <w:sz w:val="44"/>
          <w:szCs w:val="44"/>
          <w:lang w:eastAsia="zh-CN"/>
        </w:rPr>
        <w:t>（</w:t>
      </w:r>
      <w:r>
        <w:rPr>
          <w:rFonts w:hint="eastAsia" w:ascii="仿宋" w:hAnsi="仿宋" w:eastAsia="仿宋" w:cs="仿宋"/>
          <w:b/>
          <w:sz w:val="44"/>
          <w:szCs w:val="44"/>
        </w:rPr>
        <w:t>项目编号：</w:t>
      </w:r>
      <w:r>
        <w:rPr>
          <w:rFonts w:hint="eastAsia" w:ascii="仿宋" w:hAnsi="仿宋" w:eastAsia="仿宋" w:cs="仿宋"/>
          <w:b/>
          <w:sz w:val="44"/>
          <w:szCs w:val="44"/>
          <w:lang w:val="en-US" w:eastAsia="zh-CN"/>
        </w:rPr>
        <w:t>ZCB-20240010</w:t>
      </w:r>
      <w:r>
        <w:rPr>
          <w:rFonts w:hint="eastAsia" w:ascii="仿宋" w:hAnsi="仿宋" w:eastAsia="仿宋" w:cs="仿宋"/>
          <w:b/>
          <w:sz w:val="44"/>
          <w:szCs w:val="4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pStyle w:val="2"/>
        <w:ind w:left="0" w:leftChars="0" w:firstLine="0" w:firstLineChars="0"/>
        <w:rPr>
          <w:rFonts w:hint="eastAsia" w:ascii="仿宋" w:hAnsi="仿宋" w:eastAsia="仿宋" w:cs="仿宋"/>
          <w:b/>
          <w:bCs/>
          <w:color w:val="000000"/>
          <w:sz w:val="24"/>
          <w:szCs w:val="24"/>
          <w:highlight w:val="none"/>
        </w:rPr>
      </w:pPr>
    </w:p>
    <w:p>
      <w:pPr>
        <w:pStyle w:val="2"/>
        <w:rPr>
          <w:rFonts w:hint="eastAsia" w:ascii="仿宋" w:hAnsi="仿宋" w:eastAsia="仿宋" w:cs="仿宋"/>
          <w:b/>
          <w:bCs/>
          <w:color w:val="000000"/>
          <w:sz w:val="24"/>
          <w:szCs w:val="24"/>
          <w:highlight w:val="none"/>
        </w:rPr>
      </w:pPr>
    </w:p>
    <w:p>
      <w:pPr>
        <w:pStyle w:val="2"/>
        <w:rPr>
          <w:rFonts w:hint="eastAsia" w:ascii="仿宋" w:hAnsi="仿宋" w:eastAsia="仿宋" w:cs="仿宋"/>
          <w:b/>
          <w:bCs/>
          <w:color w:val="000000"/>
          <w:sz w:val="24"/>
          <w:szCs w:val="24"/>
          <w:highlight w:val="none"/>
        </w:rPr>
      </w:pPr>
    </w:p>
    <w:p>
      <w:pPr>
        <w:pStyle w:val="2"/>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rPr>
        <w:t>202</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年</w:t>
      </w:r>
      <w:r>
        <w:rPr>
          <w:rFonts w:hint="eastAsia" w:ascii="仿宋" w:hAnsi="仿宋" w:eastAsia="仿宋" w:cs="仿宋"/>
          <w:b w:val="0"/>
          <w:bCs w:val="0"/>
          <w:sz w:val="24"/>
          <w:szCs w:val="24"/>
          <w:shd w:val="clear"/>
          <w:lang w:val="en-US" w:eastAsia="zh-CN"/>
        </w:rPr>
        <w:t>5</w:t>
      </w:r>
      <w:r>
        <w:rPr>
          <w:rFonts w:hint="eastAsia" w:ascii="仿宋" w:hAnsi="仿宋" w:eastAsia="仿宋" w:cs="仿宋"/>
          <w:b w:val="0"/>
          <w:bCs w:val="0"/>
          <w:sz w:val="24"/>
          <w:szCs w:val="24"/>
        </w:rPr>
        <w:t>月</w:t>
      </w:r>
    </w:p>
    <w:p>
      <w:pPr>
        <w:pStyle w:val="33"/>
        <w:ind w:firstLine="562"/>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pPr>
        <w:pStyle w:val="33"/>
        <w:ind w:firstLine="562"/>
        <w:rPr>
          <w:rFonts w:hint="eastAsia" w:ascii="宋体" w:hAnsi="宋体" w:cs="宋体"/>
          <w:b/>
          <w:bCs/>
          <w:sz w:val="28"/>
          <w:szCs w:val="28"/>
          <w:lang w:val="en-US" w:eastAsia="zh-CN"/>
        </w:rPr>
      </w:pPr>
    </w:p>
    <w:p>
      <w:pPr>
        <w:ind w:firstLine="964" w:firstLineChars="200"/>
        <w:jc w:val="center"/>
        <w:rPr>
          <w:rFonts w:hint="eastAsia" w:ascii="仿宋" w:hAnsi="仿宋" w:eastAsia="仿宋" w:cs="仿宋"/>
          <w:b/>
          <w:bCs/>
          <w:sz w:val="48"/>
          <w:szCs w:val="48"/>
        </w:rPr>
      </w:pPr>
      <w:r>
        <w:rPr>
          <w:rFonts w:hint="eastAsia" w:ascii="仿宋" w:hAnsi="仿宋" w:eastAsia="仿宋" w:cs="仿宋"/>
          <w:b/>
          <w:bCs/>
          <w:sz w:val="48"/>
          <w:szCs w:val="48"/>
        </w:rPr>
        <w:t>目</w:t>
      </w:r>
      <w:r>
        <w:rPr>
          <w:rFonts w:hint="eastAsia" w:ascii="仿宋" w:hAnsi="仿宋" w:eastAsia="仿宋" w:cs="仿宋"/>
          <w:b/>
          <w:bCs/>
          <w:sz w:val="48"/>
          <w:szCs w:val="48"/>
          <w:lang w:val="en-US" w:eastAsia="zh-CN"/>
        </w:rPr>
        <w:t xml:space="preserve">  </w:t>
      </w:r>
      <w:r>
        <w:rPr>
          <w:rFonts w:hint="eastAsia" w:ascii="仿宋" w:hAnsi="仿宋" w:eastAsia="仿宋" w:cs="仿宋"/>
          <w:b/>
          <w:bCs/>
          <w:sz w:val="48"/>
          <w:szCs w:val="48"/>
        </w:rPr>
        <w:t>录</w:t>
      </w:r>
    </w:p>
    <w:p>
      <w:pPr>
        <w:pStyle w:val="10"/>
        <w:rPr>
          <w:rFonts w:hint="eastAsia" w:ascii="仿宋" w:hAnsi="仿宋" w:eastAsia="仿宋" w:cs="仿宋"/>
        </w:rPr>
      </w:pPr>
    </w:p>
    <w:p>
      <w:pPr>
        <w:pStyle w:val="67"/>
        <w:tabs>
          <w:tab w:val="right" w:leader="dot" w:pos="9242"/>
        </w:tabs>
        <w:rPr>
          <w:rFonts w:hint="eastAsia" w:ascii="仿宋" w:hAnsi="仿宋" w:eastAsia="仿宋" w:cs="仿宋"/>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p>
    <w:p>
      <w:pPr>
        <w:pStyle w:val="67"/>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_Toc17423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第一部分 邀请函</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fldChar w:fldCharType="end"/>
      </w:r>
    </w:p>
    <w:p>
      <w:pPr>
        <w:pStyle w:val="67"/>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_Toc24424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第二部分 用户需求书</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fldChar w:fldCharType="end"/>
      </w:r>
    </w:p>
    <w:p>
      <w:pPr>
        <w:pStyle w:val="67"/>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第三部分 响应须知</w:t>
      </w:r>
      <w:r>
        <w:rPr>
          <w:rFonts w:hint="eastAsia" w:ascii="仿宋" w:hAnsi="仿宋" w:eastAsia="仿宋" w:cs="仿宋"/>
          <w:b/>
          <w:bCs/>
          <w:sz w:val="36"/>
          <w:szCs w:val="36"/>
        </w:rPr>
        <w:tab/>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8</w:t>
      </w:r>
    </w:p>
    <w:p>
      <w:pPr>
        <w:pStyle w:val="67"/>
        <w:tabs>
          <w:tab w:val="right" w:leader="dot" w:pos="9242"/>
        </w:tabs>
        <w:ind w:firstLine="361" w:firstLineChars="100"/>
        <w:rPr>
          <w:rFonts w:hint="eastAsia"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第四部分 合同参考文本</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6</w:t>
      </w:r>
    </w:p>
    <w:p>
      <w:pPr>
        <w:pStyle w:val="67"/>
        <w:tabs>
          <w:tab w:val="right" w:leader="dot" w:pos="9242"/>
        </w:tabs>
        <w:ind w:firstLine="361" w:firstLineChars="1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_Toc1332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bidi="ar-SA"/>
        </w:rPr>
        <w:t>第五部分 响应文件格式</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18</w:t>
      </w:r>
      <w:r>
        <w:rPr>
          <w:rFonts w:hint="eastAsia" w:ascii="仿宋" w:hAnsi="仿宋" w:eastAsia="仿宋" w:cs="仿宋"/>
          <w:b/>
          <w:bCs/>
          <w:sz w:val="36"/>
          <w:szCs w:val="36"/>
        </w:rPr>
        <w:fldChar w:fldCharType="end"/>
      </w:r>
    </w:p>
    <w:p>
      <w:pPr>
        <w:pStyle w:val="33"/>
        <w:adjustRightInd w:val="0"/>
        <w:snapToGrid w:val="0"/>
        <w:spacing w:line="480" w:lineRule="auto"/>
        <w:ind w:left="0" w:leftChars="0" w:firstLine="0" w:firstLineChars="0"/>
        <w:jc w:val="left"/>
        <w:outlineLvl w:val="9"/>
        <w:rPr>
          <w:rFonts w:hint="eastAsia" w:ascii="仿宋" w:hAnsi="仿宋" w:eastAsia="仿宋" w:cs="仿宋"/>
          <w:b/>
          <w:bCs/>
          <w:sz w:val="36"/>
          <w:szCs w:val="36"/>
        </w:rPr>
        <w:sectPr>
          <w:headerReference r:id="rId3" w:type="default"/>
          <w:footerReference r:id="rId4" w:type="default"/>
          <w:pgSz w:w="11907" w:h="16840"/>
          <w:pgMar w:top="1418" w:right="1247" w:bottom="1247" w:left="1418" w:header="851" w:footer="992" w:gutter="0"/>
          <w:pgNumType w:fmt="decimal"/>
          <w:cols w:space="720" w:num="1"/>
          <w:docGrid w:type="lines" w:linePitch="312" w:charSpace="0"/>
        </w:sectPr>
      </w:pPr>
    </w:p>
    <w:p>
      <w:pPr>
        <w:pStyle w:val="33"/>
        <w:jc w:val="center"/>
        <w:rPr>
          <w:rFonts w:hint="eastAsia" w:ascii="仿宋" w:hAnsi="仿宋" w:eastAsia="仿宋" w:cs="仿宋"/>
          <w:b/>
          <w:bCs/>
          <w:kern w:val="44"/>
          <w:sz w:val="28"/>
          <w:szCs w:val="28"/>
        </w:rPr>
      </w:pPr>
      <w:r>
        <w:rPr>
          <w:rFonts w:hint="eastAsia" w:ascii="仿宋" w:hAnsi="仿宋" w:eastAsia="仿宋" w:cs="仿宋"/>
          <w:bCs/>
          <w:szCs w:val="28"/>
        </w:rPr>
        <w:fldChar w:fldCharType="end"/>
      </w:r>
      <w:r>
        <w:rPr>
          <w:rFonts w:hint="eastAsia" w:ascii="仿宋" w:hAnsi="仿宋" w:eastAsia="仿宋" w:cs="仿宋"/>
          <w:b/>
          <w:bCs/>
          <w:kern w:val="44"/>
          <w:sz w:val="28"/>
          <w:szCs w:val="28"/>
          <w:lang w:val="en-US" w:eastAsia="zh-CN"/>
        </w:rPr>
        <w:t xml:space="preserve">第一部分 </w:t>
      </w: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sz w:val="24"/>
          <w:szCs w:val="24"/>
          <w:lang w:val="zh-CN" w:eastAsia="zh-CN"/>
        </w:rPr>
        <w:t>（以下简称“</w:t>
      </w:r>
      <w:r>
        <w:rPr>
          <w:rFonts w:hint="eastAsia" w:ascii="仿宋" w:hAnsi="仿宋" w:eastAsia="仿宋" w:cs="仿宋"/>
          <w:sz w:val="24"/>
          <w:szCs w:val="24"/>
          <w:lang w:val="en-US" w:eastAsia="zh-CN"/>
        </w:rPr>
        <w:t>本</w:t>
      </w:r>
      <w:r>
        <w:rPr>
          <w:rFonts w:hint="eastAsia" w:ascii="仿宋" w:hAnsi="仿宋" w:eastAsia="仿宋" w:cs="仿宋"/>
          <w:sz w:val="24"/>
          <w:szCs w:val="24"/>
          <w:lang w:val="zh-CN" w:eastAsia="zh-CN"/>
        </w:rPr>
        <w:t>院”）</w:t>
      </w:r>
      <w:r>
        <w:rPr>
          <w:rFonts w:hint="eastAsia" w:ascii="仿宋" w:hAnsi="仿宋" w:eastAsia="仿宋" w:cs="仿宋"/>
          <w:sz w:val="24"/>
          <w:szCs w:val="24"/>
          <w:lang w:val="en-US" w:eastAsia="zh-CN"/>
        </w:rPr>
        <w:t>拟采购</w:t>
      </w:r>
      <w:r>
        <w:rPr>
          <w:rFonts w:hint="eastAsia" w:ascii="仿宋" w:hAnsi="仿宋" w:eastAsia="仿宋" w:cs="仿宋"/>
          <w:sz w:val="24"/>
          <w:szCs w:val="24"/>
          <w:vertAlign w:val="baseline"/>
          <w:lang w:val="en-US" w:eastAsia="zh-CN"/>
        </w:rPr>
        <w:t>医气正负压机组维保服务，现公开挂网采购，欢迎符合条件的供应商参加响应。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1、项目名称：中山大学孙逸仙纪念医院深汕中心医院医气正负压机组维保服务项目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vertAlign w:val="baseline"/>
          <w:lang w:val="en-US" w:eastAsia="zh-CN"/>
        </w:rPr>
        <w:t>项目编号：ZCB-20240010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lang w:val="en-US" w:eastAsia="zh-CN"/>
        </w:rPr>
        <w:t>采购方式：医院自行采购</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最高限价</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人民币265960元</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二、采购内容及要求</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采购内容：</w:t>
      </w:r>
      <w:r>
        <w:rPr>
          <w:rFonts w:hint="eastAsia" w:ascii="仿宋" w:hAnsi="仿宋" w:eastAsia="仿宋" w:cs="仿宋"/>
          <w:sz w:val="24"/>
          <w:szCs w:val="24"/>
          <w:vertAlign w:val="baseline"/>
          <w:lang w:val="en-US" w:eastAsia="zh-CN"/>
        </w:rPr>
        <w:t>医气正负压机组维保服务，包括气正负压机组的零</w:t>
      </w:r>
      <w:r>
        <w:rPr>
          <w:rFonts w:hint="eastAsia" w:ascii="仿宋" w:hAnsi="仿宋" w:eastAsia="仿宋" w:cs="仿宋"/>
          <w:b w:val="0"/>
          <w:bCs w:val="0"/>
          <w:color w:val="000000"/>
          <w:kern w:val="0"/>
          <w:sz w:val="24"/>
          <w:szCs w:val="24"/>
          <w:highlight w:val="none"/>
          <w:lang w:val="en-US" w:eastAsia="zh-CN"/>
        </w:rPr>
        <w:t>配件更换服务、设备带安装及管线铺设服务。成交供应商</w:t>
      </w:r>
      <w:r>
        <w:rPr>
          <w:rFonts w:hint="eastAsia" w:ascii="仿宋" w:hAnsi="仿宋" w:eastAsia="仿宋" w:cs="仿宋"/>
          <w:sz w:val="24"/>
          <w:lang w:val="en-US" w:eastAsia="zh-CN"/>
        </w:rPr>
        <w:t>需组建由其在职员工组成的服务团队（至少包括1名项目负责人和 2 名项目成员），按照相关法律规定、国家及行业标准完成本项目项下服务。</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服务期限：自合同生效之日起，至服务期满1年或服务费用结算总额累计达到合同第三条第1款约定的服务费用含税总金额时止（以两者先到者为准）。</w:t>
      </w:r>
    </w:p>
    <w:p>
      <w:pPr>
        <w:tabs>
          <w:tab w:val="left" w:pos="1005"/>
          <w:tab w:val="left" w:pos="1080"/>
        </w:tabs>
        <w:spacing w:line="360" w:lineRule="auto"/>
        <w:ind w:firstLine="480" w:firstLineChars="200"/>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服务响应时间：成交供应商应在本院提出具体服务要求后三个日历日内（不含提出服务要求当天）到场提供相应服务。</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其他具体要求见本采购文件《第二部分 用户需求书》。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供应商资格要求</w:t>
      </w:r>
    </w:p>
    <w:p>
      <w:pPr>
        <w:tabs>
          <w:tab w:val="left" w:pos="1005"/>
          <w:tab w:val="left" w:pos="1080"/>
        </w:tabs>
        <w:spacing w:line="360" w:lineRule="auto"/>
        <w:ind w:firstLine="480" w:firstLineChars="200"/>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1、在中华人民共和国境内注册的具有独立承担民事责任能力的法人，且具备履行本项目所必需的资质、人员、设备和专业技术能力。</w:t>
      </w:r>
    </w:p>
    <w:p>
      <w:pPr>
        <w:tabs>
          <w:tab w:val="left" w:pos="1005"/>
          <w:tab w:val="left" w:pos="1080"/>
        </w:tabs>
        <w:spacing w:line="360" w:lineRule="auto"/>
        <w:ind w:firstLine="480" w:firstLineChars="200"/>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2、响应供应商没有被列入失信被执行人、重大税收违法案件当事人名单（即税收违法黑名单）、政府采购严重违法失信行为记录名单，或者曾有不良信用记录但已失效。</w:t>
      </w:r>
    </w:p>
    <w:p>
      <w:pPr>
        <w:pStyle w:val="12"/>
        <w:keepNext w:val="0"/>
        <w:keepLines w:val="0"/>
        <w:pageBreakBefore w:val="0"/>
        <w:widowControl w:val="0"/>
        <w:kinsoku/>
        <w:wordWrap/>
        <w:overflowPunct/>
        <w:topLinePunct w:val="0"/>
        <w:autoSpaceDE/>
        <w:autoSpaceDN/>
        <w:bidi w:val="0"/>
        <w:adjustRightInd/>
        <w:spacing w:after="0" w:line="360" w:lineRule="auto"/>
        <w:ind w:firstLine="482" w:firstLineChars="200"/>
        <w:jc w:val="both"/>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注：</w:t>
      </w:r>
      <w:r>
        <w:rPr>
          <w:rFonts w:hint="eastAsia" w:ascii="仿宋" w:hAnsi="仿宋" w:eastAsia="仿宋" w:cs="仿宋"/>
          <w:b w:val="0"/>
          <w:spacing w:val="0"/>
          <w:kern w:val="2"/>
          <w:sz w:val="24"/>
          <w:szCs w:val="24"/>
          <w:lang w:val="en-US" w:eastAsia="zh-CN" w:bidi="ar-SA"/>
        </w:rPr>
        <w:t>本项目不接受联合响应，不接受转包、分包。</w:t>
      </w:r>
    </w:p>
    <w:p>
      <w:pPr>
        <w:pStyle w:val="12"/>
        <w:keepNext w:val="0"/>
        <w:keepLines w:val="0"/>
        <w:pageBreakBefore w:val="0"/>
        <w:widowControl w:val="0"/>
        <w:kinsoku/>
        <w:wordWrap/>
        <w:overflowPunct/>
        <w:topLinePunct w:val="0"/>
        <w:autoSpaceDE/>
        <w:autoSpaceDN/>
        <w:bidi w:val="0"/>
        <w:adjustRightInd/>
        <w:spacing w:after="0" w:line="360" w:lineRule="auto"/>
        <w:ind w:firstLine="480" w:firstLineChars="200"/>
        <w:jc w:val="both"/>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单位负责人为同一人或者存在直接控股、管理关系的不同供应商，不得同时参加本项目的响应。</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u w:val="none"/>
          <w:lang w:val="en-US" w:eastAsia="zh-CN"/>
        </w:rPr>
      </w:pPr>
      <w:r>
        <w:rPr>
          <w:rFonts w:hint="eastAsia" w:ascii="仿宋" w:hAnsi="仿宋" w:eastAsia="仿宋" w:cs="仿宋"/>
          <w:b/>
          <w:bCs/>
          <w:sz w:val="24"/>
          <w:szCs w:val="24"/>
          <w:highlight w:val="none"/>
          <w:u w:val="none"/>
          <w:lang w:val="en-US" w:eastAsia="zh-CN"/>
        </w:rPr>
        <w:t>1、</w:t>
      </w:r>
      <w:r>
        <w:rPr>
          <w:rFonts w:hint="eastAsia" w:ascii="仿宋" w:hAnsi="仿宋" w:eastAsia="仿宋" w:cs="仿宋"/>
          <w:b/>
          <w:bCs/>
          <w:color w:val="FF0000"/>
          <w:sz w:val="24"/>
          <w:szCs w:val="24"/>
          <w:u w:val="none"/>
          <w:lang w:val="en-US" w:eastAsia="zh-CN"/>
        </w:rPr>
        <w:t>仅受理以快递方式向本院递交的纸质响应文件。</w:t>
      </w:r>
      <w:r>
        <w:rPr>
          <w:rFonts w:hint="eastAsia" w:ascii="仿宋" w:hAnsi="仿宋" w:eastAsia="仿宋" w:cs="仿宋"/>
          <w:b/>
          <w:bCs/>
          <w:sz w:val="24"/>
          <w:szCs w:val="24"/>
          <w:u w:val="none"/>
          <w:lang w:val="en-US" w:eastAsia="zh-CN"/>
        </w:rPr>
        <w:t>纸质响应文件原件一式三份（正本1份/副本2份），具体编制要求详见本采购文件《第三部分 响应须知》及《第五部分 响应文件格式》。纸质响应文件寄出后，请将</w:t>
      </w:r>
      <w:r>
        <w:rPr>
          <w:rFonts w:hint="eastAsia" w:ascii="仿宋" w:hAnsi="仿宋" w:eastAsia="仿宋" w:cs="仿宋"/>
          <w:b/>
          <w:bCs/>
          <w:color w:val="FF0000"/>
          <w:sz w:val="24"/>
          <w:szCs w:val="24"/>
          <w:u w:val="none"/>
          <w:lang w:val="en-US" w:eastAsia="zh-CN"/>
        </w:rPr>
        <w:t>快递底单</w:t>
      </w:r>
      <w:r>
        <w:rPr>
          <w:rFonts w:hint="eastAsia" w:ascii="仿宋" w:hAnsi="仿宋" w:eastAsia="仿宋" w:cs="仿宋"/>
          <w:b/>
          <w:bCs/>
          <w:sz w:val="24"/>
          <w:szCs w:val="24"/>
          <w:u w:val="none"/>
          <w:lang w:val="en-US" w:eastAsia="zh-CN"/>
        </w:rPr>
        <w:t>发送至邮箱：</w:t>
      </w:r>
      <w:r>
        <w:rPr>
          <w:rFonts w:hint="eastAsia" w:ascii="仿宋" w:hAnsi="仿宋" w:eastAsia="仿宋" w:cs="仿宋"/>
          <w:b/>
          <w:bCs/>
          <w:sz w:val="24"/>
          <w:szCs w:val="24"/>
          <w:u w:val="none"/>
          <w:lang w:val="en-US" w:eastAsia="zh-CN"/>
        </w:rPr>
        <w:fldChar w:fldCharType="begin"/>
      </w:r>
      <w:r>
        <w:rPr>
          <w:rFonts w:hint="eastAsia" w:ascii="仿宋" w:hAnsi="仿宋" w:eastAsia="仿宋" w:cs="仿宋"/>
          <w:b/>
          <w:bCs/>
          <w:sz w:val="24"/>
          <w:szCs w:val="24"/>
          <w:u w:val="none"/>
          <w:lang w:val="en-US" w:eastAsia="zh-CN"/>
        </w:rPr>
        <w:instrText xml:space="preserve"> HYPERLINK "mailto:sszxyyzcb@126.com，邮件标题应为\“qidong" </w:instrText>
      </w:r>
      <w:r>
        <w:rPr>
          <w:rFonts w:hint="eastAsia" w:ascii="仿宋" w:hAnsi="仿宋" w:eastAsia="仿宋" w:cs="仿宋"/>
          <w:b/>
          <w:bCs/>
          <w:sz w:val="24"/>
          <w:szCs w:val="24"/>
          <w:u w:val="none"/>
          <w:lang w:val="en-US" w:eastAsia="zh-CN"/>
        </w:rPr>
        <w:fldChar w:fldCharType="separate"/>
      </w:r>
      <w:r>
        <w:rPr>
          <w:rFonts w:hint="eastAsia" w:ascii="仿宋" w:hAnsi="仿宋" w:eastAsia="仿宋" w:cs="仿宋"/>
          <w:b/>
          <w:bCs/>
          <w:sz w:val="24"/>
          <w:szCs w:val="24"/>
          <w:u w:val="none"/>
          <w:lang w:val="en-US" w:eastAsia="zh-CN"/>
        </w:rPr>
        <w:t>sszxyyzcb0@126.com，</w:t>
      </w:r>
      <w:r>
        <w:rPr>
          <w:rFonts w:hint="default" w:ascii="仿宋" w:hAnsi="仿宋" w:eastAsia="仿宋" w:cs="仿宋"/>
          <w:b/>
          <w:bCs/>
          <w:sz w:val="24"/>
          <w:szCs w:val="24"/>
          <w:u w:val="none"/>
          <w:lang w:val="en-US" w:eastAsia="zh-CN"/>
        </w:rPr>
        <w:t>邮件</w:t>
      </w:r>
      <w:r>
        <w:rPr>
          <w:rFonts w:hint="eastAsia" w:ascii="仿宋" w:hAnsi="仿宋" w:eastAsia="仿宋" w:cs="仿宋"/>
          <w:b/>
          <w:bCs/>
          <w:sz w:val="24"/>
          <w:szCs w:val="24"/>
          <w:u w:val="none"/>
          <w:lang w:val="en-US" w:eastAsia="zh-CN"/>
        </w:rPr>
        <w:t>标题应为“医气正负压机组维保服务项目</w:t>
      </w:r>
      <w:r>
        <w:rPr>
          <w:rFonts w:hint="eastAsia" w:ascii="仿宋" w:hAnsi="仿宋" w:eastAsia="仿宋" w:cs="仿宋"/>
          <w:b/>
          <w:bCs/>
          <w:sz w:val="24"/>
          <w:szCs w:val="24"/>
          <w:u w:val="none"/>
          <w:lang w:val="en-US" w:eastAsia="zh-CN"/>
        </w:rPr>
        <w:fldChar w:fldCharType="end"/>
      </w:r>
      <w:r>
        <w:rPr>
          <w:rFonts w:hint="eastAsia" w:ascii="仿宋" w:hAnsi="仿宋" w:eastAsia="仿宋" w:cs="仿宋"/>
          <w:b/>
          <w:bCs/>
          <w:sz w:val="24"/>
          <w:szCs w:val="24"/>
          <w:u w:val="none"/>
          <w:lang w:val="en-US" w:eastAsia="zh-CN"/>
        </w:rPr>
        <w:t>（第二次采购）”</w:t>
      </w:r>
      <w:r>
        <w:rPr>
          <w:rFonts w:hint="eastAsia" w:ascii="仿宋" w:hAnsi="仿宋" w:eastAsia="仿宋" w:cs="仿宋"/>
          <w:b/>
          <w:bCs/>
          <w:color w:val="FF0000"/>
          <w:sz w:val="24"/>
          <w:szCs w:val="24"/>
          <w:u w:val="none"/>
          <w:lang w:val="en-US" w:eastAsia="zh-CN"/>
        </w:rPr>
        <w:t>（不得显示公司名称或其他信息）</w:t>
      </w:r>
      <w:r>
        <w:rPr>
          <w:rFonts w:hint="eastAsia" w:ascii="仿宋" w:hAnsi="仿宋" w:eastAsia="仿宋" w:cs="仿宋"/>
          <w:b/>
          <w:bCs/>
          <w:sz w:val="24"/>
          <w:szCs w:val="24"/>
          <w:u w:val="none"/>
          <w:lang w:val="en-US" w:eastAsia="zh-CN"/>
        </w:rPr>
        <w:t>，</w:t>
      </w:r>
      <w:r>
        <w:rPr>
          <w:rFonts w:hint="default" w:ascii="仿宋" w:hAnsi="仿宋" w:eastAsia="仿宋" w:cs="仿宋"/>
          <w:b/>
          <w:bCs/>
          <w:sz w:val="24"/>
          <w:szCs w:val="24"/>
          <w:u w:val="none"/>
          <w:lang w:val="en-US" w:eastAsia="zh-CN"/>
        </w:rPr>
        <w:t>邮件正文</w:t>
      </w:r>
      <w:r>
        <w:rPr>
          <w:rFonts w:hint="eastAsia" w:ascii="仿宋" w:hAnsi="仿宋" w:eastAsia="仿宋" w:cs="仿宋"/>
          <w:b/>
          <w:bCs/>
          <w:sz w:val="24"/>
          <w:szCs w:val="24"/>
          <w:u w:val="none"/>
          <w:lang w:val="en-US" w:eastAsia="zh-CN"/>
        </w:rPr>
        <w:t>须包含：公司名称、</w:t>
      </w:r>
      <w:r>
        <w:rPr>
          <w:rFonts w:hint="default" w:ascii="仿宋" w:hAnsi="仿宋" w:eastAsia="仿宋" w:cs="仿宋"/>
          <w:b/>
          <w:bCs/>
          <w:sz w:val="24"/>
          <w:szCs w:val="24"/>
          <w:u w:val="none"/>
          <w:lang w:val="en-US" w:eastAsia="zh-CN"/>
        </w:rPr>
        <w:t>项目联系人、联系电话（手机号码）</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sz w:val="24"/>
          <w:szCs w:val="24"/>
          <w:highlight w:val="none"/>
          <w:u w:val="none"/>
          <w:lang w:val="en-US" w:eastAsia="zh-CN"/>
        </w:rPr>
      </w:pPr>
      <w:r>
        <w:rPr>
          <w:rFonts w:hint="eastAsia" w:ascii="仿宋" w:hAnsi="仿宋" w:eastAsia="仿宋" w:cs="仿宋"/>
          <w:b/>
          <w:bCs/>
          <w:sz w:val="24"/>
          <w:szCs w:val="24"/>
          <w:highlight w:val="none"/>
          <w:u w:val="none"/>
          <w:lang w:val="en-US" w:eastAsia="zh-CN"/>
        </w:rPr>
        <w:t>2、响应文件接收截止时间：2024年5月14日17时30分。 迟于响应文件接收截止时间寄达本院的，视为无效响应。</w:t>
      </w:r>
      <w:bookmarkStart w:id="8" w:name="_GoBack"/>
      <w:bookmarkEnd w:id="8"/>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收件人：林老师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联系电话：0660-3863498</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评审会议时间：待定（根据医院工作安排开展评审，供应商无需出席）</w:t>
      </w:r>
    </w:p>
    <w:p>
      <w:pPr>
        <w:pStyle w:val="12"/>
        <w:keepNext w:val="0"/>
        <w:keepLines w:val="0"/>
        <w:pageBreakBefore w:val="0"/>
        <w:widowControl w:val="0"/>
        <w:kinsoku/>
        <w:wordWrap/>
        <w:overflowPunct/>
        <w:topLinePunct w:val="0"/>
        <w:autoSpaceDE/>
        <w:autoSpaceDN/>
        <w:bidi w:val="0"/>
        <w:adjustRightInd/>
        <w:spacing w:after="0" w:line="360" w:lineRule="auto"/>
        <w:ind w:firstLine="482" w:firstLineChars="200"/>
        <w:jc w:val="both"/>
        <w:textAlignment w:val="auto"/>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七、评审方法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本次评审采用综合评分法，评分总值最高为100分，评分分值（权重）分配如下：</w:t>
      </w:r>
    </w:p>
    <w:tbl>
      <w:tblPr>
        <w:tblStyle w:val="26"/>
        <w:tblW w:w="832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083"/>
        <w:gridCol w:w="2106"/>
        <w:gridCol w:w="2069"/>
        <w:gridCol w:w="20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2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分值比例（100%）</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技术评审（52%）</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商务评审（28%）</w:t>
            </w:r>
          </w:p>
        </w:tc>
        <w:tc>
          <w:tcPr>
            <w:tcW w:w="2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价格评分（20%）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2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总分：100分</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52分</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28分</w:t>
            </w:r>
          </w:p>
        </w:tc>
        <w:tc>
          <w:tcPr>
            <w:tcW w:w="2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20分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评分细则详见采购文件《第三部分 响应须知》。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八、评定成交标准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根据响应文件齐全、满足采购文件的全部要求且综合评分最高的原则确定成交供应商。评审委员会根据最终评审的结果，推荐综合得分排名第一的响应供应商为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推荐成交供应商。综合得分、价格评分、技术部分、商务部分得分均相同的，以响应文件寄出时间最早的供应商为成交供应商。</w:t>
      </w:r>
    </w:p>
    <w:p>
      <w:pPr>
        <w:pStyle w:val="10"/>
        <w:numPr>
          <w:ilvl w:val="0"/>
          <w:numId w:val="0"/>
        </w:numPr>
        <w:rPr>
          <w:rFonts w:hint="eastAsia"/>
          <w:lang w:val="en-US" w:eastAsia="zh-CN"/>
        </w:rPr>
      </w:pPr>
    </w:p>
    <w:p>
      <w:pPr>
        <w:pStyle w:val="33"/>
        <w:ind w:firstLine="400"/>
      </w:pPr>
    </w:p>
    <w:p>
      <w:pPr>
        <w:pStyle w:val="33"/>
        <w:ind w:firstLine="400"/>
      </w:pPr>
    </w:p>
    <w:p>
      <w:pPr>
        <w:pStyle w:val="33"/>
        <w:ind w:firstLine="400"/>
      </w:pPr>
    </w:p>
    <w:p>
      <w:pPr>
        <w:pStyle w:val="33"/>
        <w:ind w:firstLine="400"/>
      </w:pPr>
    </w:p>
    <w:p>
      <w:pPr>
        <w:pStyle w:val="33"/>
        <w:ind w:firstLine="400"/>
      </w:pPr>
    </w:p>
    <w:p>
      <w:pPr>
        <w:pStyle w:val="33"/>
        <w:ind w:firstLine="40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bookmarkStart w:id="0" w:name="_Toc385940875"/>
      <w:bookmarkStart w:id="1" w:name="_Toc385939529"/>
      <w:bookmarkStart w:id="2" w:name="_Toc417914519"/>
      <w:r>
        <w:rPr>
          <w:rFonts w:hint="eastAsia" w:ascii="仿宋" w:hAnsi="仿宋" w:eastAsia="仿宋" w:cs="仿宋"/>
          <w:b/>
          <w:bCs/>
          <w:kern w:val="44"/>
          <w:sz w:val="28"/>
          <w:szCs w:val="28"/>
          <w:lang w:val="en-US" w:eastAsia="zh-CN"/>
        </w:rPr>
        <w:t>第二部分 用户需求书</w:t>
      </w:r>
    </w:p>
    <w:p>
      <w:pPr>
        <w:pStyle w:val="10"/>
        <w:rPr>
          <w:rFonts w:hint="eastAsia" w:ascii="仿宋" w:hAnsi="仿宋" w:eastAsia="仿宋" w:cs="仿宋"/>
          <w:b/>
          <w:bCs/>
          <w:color w:val="000000"/>
          <w:kern w:val="0"/>
          <w:sz w:val="24"/>
          <w:szCs w:val="24"/>
          <w:highlight w:val="none"/>
          <w:lang w:val="en-US" w:eastAsia="zh-CN"/>
        </w:rPr>
      </w:pPr>
    </w:p>
    <w:p>
      <w:pPr>
        <w:pStyle w:val="10"/>
        <w:numPr>
          <w:ilvl w:val="0"/>
          <w:numId w:val="3"/>
        </w:numPr>
        <w:ind w:left="0" w:leftChars="0" w:firstLine="422" w:firstLineChars="175"/>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采购项目内容</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 w:val="0"/>
          <w:bCs w:val="0"/>
          <w:color w:val="000000"/>
          <w:kern w:val="0"/>
          <w:sz w:val="24"/>
          <w:szCs w:val="24"/>
          <w:highlight w:val="none"/>
          <w:lang w:val="en-US" w:eastAsia="zh-CN"/>
        </w:rPr>
        <w:t>本项目采购内容为中山大学孙逸仙纪念医院深汕中心医院（以下简称“本院”）</w:t>
      </w:r>
      <w:r>
        <w:rPr>
          <w:rFonts w:hint="eastAsia" w:ascii="仿宋" w:hAnsi="仿宋" w:eastAsia="仿宋" w:cs="仿宋"/>
          <w:sz w:val="24"/>
          <w:szCs w:val="24"/>
          <w:vertAlign w:val="baseline"/>
          <w:lang w:val="en-US" w:eastAsia="zh-CN"/>
        </w:rPr>
        <w:t>医气正负压机组维保服务，包括气正负压机组的零</w:t>
      </w:r>
      <w:r>
        <w:rPr>
          <w:rFonts w:hint="eastAsia" w:ascii="仿宋" w:hAnsi="仿宋" w:eastAsia="仿宋" w:cs="仿宋"/>
          <w:b w:val="0"/>
          <w:bCs w:val="0"/>
          <w:color w:val="000000"/>
          <w:kern w:val="0"/>
          <w:sz w:val="24"/>
          <w:szCs w:val="24"/>
          <w:highlight w:val="none"/>
          <w:lang w:val="en-US" w:eastAsia="zh-CN"/>
        </w:rPr>
        <w:t>配件更换服务、设备带安装及管线铺设服务，</w:t>
      </w:r>
      <w:r>
        <w:rPr>
          <w:rFonts w:hint="eastAsia" w:ascii="仿宋" w:hAnsi="仿宋" w:eastAsia="仿宋" w:cs="仿宋"/>
          <w:sz w:val="24"/>
          <w:szCs w:val="24"/>
          <w:lang w:val="en-US" w:eastAsia="zh-CN"/>
        </w:rPr>
        <w:t>项目</w:t>
      </w:r>
      <w:r>
        <w:rPr>
          <w:rFonts w:hint="eastAsia" w:ascii="仿宋" w:hAnsi="仿宋" w:eastAsia="仿宋" w:cs="仿宋"/>
          <w:sz w:val="24"/>
          <w:szCs w:val="24"/>
        </w:rPr>
        <w:t>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最高限价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为</w:t>
      </w:r>
      <w:r>
        <w:rPr>
          <w:rFonts w:hint="eastAsia" w:ascii="仿宋" w:hAnsi="仿宋" w:eastAsia="仿宋" w:cs="仿宋"/>
          <w:sz w:val="24"/>
          <w:szCs w:val="24"/>
          <w:vertAlign w:val="baseline"/>
          <w:lang w:val="en-US" w:eastAsia="zh-CN"/>
        </w:rPr>
        <w:t>人民币265960元</w:t>
      </w:r>
      <w:r>
        <w:rPr>
          <w:rFonts w:hint="eastAsia" w:ascii="仿宋" w:hAnsi="仿宋" w:eastAsia="仿宋" w:cs="仿宋"/>
          <w:b w:val="0"/>
          <w:bCs w:val="0"/>
          <w:color w:val="000000"/>
          <w:kern w:val="0"/>
          <w:sz w:val="24"/>
          <w:szCs w:val="24"/>
          <w:highlight w:val="none"/>
          <w:lang w:val="en-US" w:eastAsia="zh-CN"/>
        </w:rPr>
        <w:t>。</w:t>
      </w:r>
      <w:r>
        <w:rPr>
          <w:rFonts w:hint="eastAsia" w:ascii="仿宋" w:hAnsi="仿宋" w:eastAsia="仿宋" w:cs="仿宋"/>
          <w:sz w:val="24"/>
          <w:szCs w:val="24"/>
          <w:vertAlign w:val="baseline"/>
          <w:lang w:val="en-US" w:eastAsia="zh-CN"/>
        </w:rPr>
        <w:t>成交供应商需组建由其在职员工组成的服务团队（至少包括1名项目负责人和2名项目成员），按照相关法律规定、国家及行业标准完成本项目项下服务。</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服务期限：自本合同生效之日起，至服务期满1年或服务费用结算总额累计达到本合同第三条第1款约定的服务费用含税总金额时止（以两者先到者为准）。</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服务响应时间：成交供应商应在本院提出具体服务要求后三个日历日内（不含提出服务要求当天）到场提供相应服务。</w:t>
      </w:r>
    </w:p>
    <w:p>
      <w:pPr>
        <w:ind w:firstLine="480" w:firstLineChars="200"/>
        <w:rPr>
          <w:rFonts w:hint="default"/>
          <w:b w:val="0"/>
          <w:bCs w:val="0"/>
          <w:lang w:val="en-US" w:eastAsia="zh-CN"/>
        </w:rPr>
      </w:pPr>
      <w:r>
        <w:rPr>
          <w:rFonts w:hint="eastAsia" w:ascii="仿宋" w:hAnsi="仿宋" w:eastAsia="仿宋" w:cs="仿宋"/>
          <w:b w:val="0"/>
          <w:bCs w:val="0"/>
          <w:color w:val="000000"/>
          <w:kern w:val="0"/>
          <w:sz w:val="24"/>
          <w:szCs w:val="24"/>
          <w:highlight w:val="none"/>
          <w:lang w:val="en-US" w:eastAsia="zh-CN"/>
        </w:rPr>
        <w:t>具体服务要求如下：</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零配件更换服务</w:t>
      </w:r>
    </w:p>
    <w:tbl>
      <w:tblPr>
        <w:tblStyle w:val="26"/>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2"/>
        <w:gridCol w:w="2466"/>
        <w:gridCol w:w="1717"/>
        <w:gridCol w:w="1483"/>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622" w:type="dxa"/>
            <w:vMerge w:val="restart"/>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466" w:type="dxa"/>
            <w:vMerge w:val="restart"/>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服务内容</w:t>
            </w:r>
          </w:p>
        </w:tc>
        <w:tc>
          <w:tcPr>
            <w:tcW w:w="3200" w:type="dxa"/>
            <w:gridSpan w:val="2"/>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零配件要求</w:t>
            </w:r>
          </w:p>
        </w:tc>
        <w:tc>
          <w:tcPr>
            <w:tcW w:w="2190" w:type="dxa"/>
            <w:vMerge w:val="restart"/>
            <w:shd w:val="clear" w:color="auto" w:fill="auto"/>
            <w:vAlign w:val="center"/>
          </w:tcPr>
          <w:p>
            <w:pPr>
              <w:keepNext w:val="0"/>
              <w:keepLines w:val="0"/>
              <w:widowControl/>
              <w:suppressLineNumbers w:val="0"/>
              <w:jc w:val="center"/>
              <w:textAlignment w:val="top"/>
              <w:rPr>
                <w:rFonts w:hint="eastAsia" w:ascii="仿宋" w:hAnsi="仿宋" w:eastAsia="仿宋" w:cs="仿宋"/>
                <w:b/>
                <w:bCs/>
                <w:color w:val="auto"/>
                <w:sz w:val="24"/>
                <w:szCs w:val="24"/>
                <w:lang w:val="en-US"/>
              </w:rPr>
            </w:pPr>
            <w:r>
              <w:rPr>
                <w:rFonts w:hint="eastAsia" w:ascii="仿宋" w:hAnsi="仿宋" w:eastAsia="仿宋" w:cs="仿宋"/>
                <w:b/>
                <w:bCs/>
                <w:i w:val="0"/>
                <w:iCs w:val="0"/>
                <w:color w:val="auto"/>
                <w:kern w:val="0"/>
                <w:sz w:val="24"/>
                <w:szCs w:val="24"/>
                <w:u w:val="none"/>
                <w:lang w:val="en-US" w:eastAsia="zh-CN" w:bidi="ar"/>
              </w:rPr>
              <w:t>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2" w:type="dxa"/>
            <w:vMerge w:val="continue"/>
            <w:shd w:val="clear" w:color="auto" w:fill="auto"/>
            <w:vAlign w:val="top"/>
          </w:tcPr>
          <w:p>
            <w:pPr>
              <w:keepNext w:val="0"/>
              <w:keepLines w:val="0"/>
              <w:widowControl/>
              <w:suppressLineNumbers w:val="0"/>
              <w:jc w:val="both"/>
              <w:textAlignment w:val="top"/>
              <w:rPr>
                <w:rFonts w:hint="eastAsia" w:ascii="仿宋" w:hAnsi="仿宋" w:eastAsia="仿宋" w:cs="仿宋"/>
                <w:b/>
                <w:bCs/>
                <w:i w:val="0"/>
                <w:iCs w:val="0"/>
                <w:color w:val="000000"/>
                <w:sz w:val="24"/>
                <w:szCs w:val="24"/>
                <w:u w:val="none"/>
              </w:rPr>
            </w:pPr>
          </w:p>
        </w:tc>
        <w:tc>
          <w:tcPr>
            <w:tcW w:w="2466" w:type="dxa"/>
            <w:vMerge w:val="continue"/>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p>
        </w:tc>
        <w:tc>
          <w:tcPr>
            <w:tcW w:w="1717" w:type="dxa"/>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1483" w:type="dxa"/>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服务期内预估更换数量</w:t>
            </w:r>
          </w:p>
        </w:tc>
        <w:tc>
          <w:tcPr>
            <w:tcW w:w="2190" w:type="dxa"/>
            <w:vMerge w:val="continue"/>
            <w:shd w:val="clear" w:color="auto" w:fill="auto"/>
            <w:vAlign w:val="top"/>
          </w:tcPr>
          <w:p>
            <w:pPr>
              <w:keepNext w:val="0"/>
              <w:keepLines w:val="0"/>
              <w:widowControl/>
              <w:suppressLineNumbers w:val="0"/>
              <w:jc w:val="center"/>
              <w:textAlignment w:val="top"/>
              <w:rPr>
                <w:rFonts w:hint="eastAsia" w:ascii="仿宋" w:hAnsi="仿宋" w:eastAsia="仿宋" w:cs="仿宋"/>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更换空气过滤器滤芯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89295976</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54672654</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890元/（个·次）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更换油气分离器滤芯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54749247</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更换润滑油</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英格索兰专用</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2桶</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6530元/（桶·次)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FA190ID</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FA190IG</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FA190IH</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FA190IA</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更换机油过滤器</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更换油气分离器</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更换润滑油</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5桶</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6500元/（桶·次)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更换细菌过滤器滤芯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EW140MV</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2380元/（个·次）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更换空气过滤器滤芯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更换皮带</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12条</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600元/（条·次）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更换逆止阀</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1480元/（个·次）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AC10210EP</w:t>
            </w:r>
          </w:p>
        </w:tc>
        <w:tc>
          <w:tcPr>
            <w:tcW w:w="1483" w:type="dxa"/>
            <w:shd w:val="clear" w:color="auto" w:fill="auto"/>
            <w:vAlign w:val="top"/>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AC10210EH</w:t>
            </w:r>
          </w:p>
        </w:tc>
        <w:tc>
          <w:tcPr>
            <w:tcW w:w="1483" w:type="dxa"/>
            <w:shd w:val="clear" w:color="auto" w:fill="auto"/>
            <w:vAlign w:val="top"/>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2020元/（个·次）</w:t>
            </w:r>
          </w:p>
        </w:tc>
      </w:tr>
    </w:tbl>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（注：结算金额按成交供应商及本院双方确认的验收单上的工作量乘以成交单价计算）</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1、医气正负压机组更换的零配件需按照规格型号采购，且为原厂全新配件，更换配件后需保证机组能够正常运行。</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2、更换的医气正负压机组零配件在机器正常运转的情况下须质保至少1年，质保期内因产品质量问题导致机组无法正常运行的，成交供应商须无偿重新更换新的配件。</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3、成交供应商进行零配件更换作业前需按照本院的管理规定进行报备，动火作业前进行报备，无条件服从本院相关规章制度的管理。</w:t>
      </w:r>
    </w:p>
    <w:p>
      <w:pPr>
        <w:ind w:firstLine="480" w:firstLineChars="20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sz w:val="24"/>
          <w:szCs w:val="24"/>
          <w:lang w:val="en-US" w:eastAsia="zh-CN"/>
        </w:rPr>
        <w:t>（</w:t>
      </w:r>
      <w:r>
        <w:rPr>
          <w:rFonts w:hint="eastAsia" w:ascii="仿宋" w:hAnsi="仿宋" w:eastAsia="仿宋" w:cs="仿宋"/>
          <w:b w:val="0"/>
          <w:bCs w:val="0"/>
          <w:color w:val="000000"/>
          <w:kern w:val="0"/>
          <w:sz w:val="24"/>
          <w:szCs w:val="24"/>
          <w:highlight w:val="none"/>
          <w:lang w:val="en-US" w:eastAsia="zh-CN"/>
        </w:rPr>
        <w:t>二）设备带安装及管线铺设服务</w:t>
      </w:r>
    </w:p>
    <w:tbl>
      <w:tblPr>
        <w:tblStyle w:val="26"/>
        <w:tblW w:w="9004"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3"/>
        <w:gridCol w:w="4254"/>
        <w:gridCol w:w="1217"/>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4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服务内容</w:t>
            </w:r>
          </w:p>
        </w:tc>
        <w:tc>
          <w:tcPr>
            <w:tcW w:w="42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项目内容描述</w:t>
            </w:r>
          </w:p>
        </w:tc>
        <w:tc>
          <w:tcPr>
            <w:tcW w:w="12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服务期内预估更换数量</w:t>
            </w:r>
          </w:p>
        </w:tc>
        <w:tc>
          <w:tcPr>
            <w:tcW w:w="20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Style w:val="65"/>
                <w:rFonts w:hint="eastAsia" w:ascii="仿宋" w:hAnsi="仿宋" w:eastAsia="仿宋" w:cs="仿宋"/>
                <w:color w:val="auto"/>
                <w:sz w:val="24"/>
                <w:szCs w:val="24"/>
                <w:lang w:val="en-US" w:eastAsia="zh-CN" w:bidi="ar"/>
              </w:rPr>
              <w:t>设备带安装</w:t>
            </w: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1.设备带：QY3700(3米内)</w:t>
            </w:r>
          </w:p>
        </w:tc>
        <w:tc>
          <w:tcPr>
            <w:tcW w:w="1217" w:type="dxa"/>
            <w:vMerge w:val="restart"/>
            <w:tcBorders>
              <w:top w:val="nil"/>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25床</w:t>
            </w:r>
          </w:p>
        </w:tc>
        <w:tc>
          <w:tcPr>
            <w:tcW w:w="2070" w:type="dxa"/>
            <w:tcBorders>
              <w:top w:val="nil"/>
              <w:left w:val="nil"/>
              <w:bottom w:val="nil"/>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2.气体终端：(氧气、负压)各1 套</w:t>
            </w:r>
          </w:p>
        </w:tc>
        <w:tc>
          <w:tcPr>
            <w:tcW w:w="121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3.二三插座：白色(3个)</w:t>
            </w:r>
          </w:p>
        </w:tc>
        <w:tc>
          <w:tcPr>
            <w:tcW w:w="121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4.单控开关：白色(1个)</w:t>
            </w:r>
          </w:p>
        </w:tc>
        <w:tc>
          <w:tcPr>
            <w:tcW w:w="121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5.医用脱脂紫铜管：8*0.8/中、10*1.0</w:t>
            </w:r>
          </w:p>
        </w:tc>
        <w:tc>
          <w:tcPr>
            <w:tcW w:w="1217" w:type="dxa"/>
            <w:vMerge w:val="continue"/>
            <w:tcBorders>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r>
              <w:rPr>
                <w:rFonts w:hint="eastAsia" w:ascii="仿宋" w:hAnsi="仿宋" w:eastAsia="仿宋" w:cs="仿宋"/>
                <w:i w:val="0"/>
                <w:iCs w:val="0"/>
                <w:color w:val="auto"/>
                <w:kern w:val="0"/>
                <w:sz w:val="24"/>
                <w:szCs w:val="24"/>
                <w:u w:val="none"/>
                <w:lang w:val="en-US" w:eastAsia="zh-CN" w:bidi="ar"/>
              </w:rPr>
              <w:t>元/(床·次)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numPr>
                <w:ilvl w:val="0"/>
                <w:numId w:val="5"/>
              </w:numPr>
              <w:suppressLineNumbers w:val="0"/>
              <w:jc w:val="both"/>
              <w:textAlignment w:val="top"/>
              <w:rPr>
                <w:rStyle w:val="66"/>
                <w:rFonts w:hint="eastAsia" w:ascii="仿宋" w:hAnsi="仿宋" w:eastAsia="仿宋" w:cs="仿宋"/>
                <w:color w:val="auto"/>
                <w:sz w:val="24"/>
                <w:szCs w:val="24"/>
                <w:lang w:val="en-US" w:eastAsia="zh-CN" w:bidi="ar"/>
              </w:rPr>
            </w:pPr>
            <w:r>
              <w:rPr>
                <w:rStyle w:val="66"/>
                <w:rFonts w:hint="eastAsia" w:ascii="仿宋" w:hAnsi="仿宋" w:eastAsia="仿宋" w:cs="仿宋"/>
                <w:color w:val="auto"/>
                <w:sz w:val="24"/>
                <w:szCs w:val="24"/>
                <w:lang w:val="en-US" w:eastAsia="zh-CN" w:bidi="ar"/>
              </w:rPr>
              <w:t>电源线：ZRBV-2.5mm</w:t>
            </w:r>
          </w:p>
          <w:p>
            <w:pPr>
              <w:keepNext w:val="0"/>
              <w:keepLines w:val="0"/>
              <w:widowControl/>
              <w:numPr>
                <w:ilvl w:val="0"/>
                <w:numId w:val="0"/>
              </w:numPr>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7.维修阀门：DG4(2个)</w:t>
            </w:r>
          </w:p>
        </w:tc>
        <w:tc>
          <w:tcPr>
            <w:tcW w:w="121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463" w:type="dxa"/>
            <w:vMerge w:val="continue"/>
            <w:tcBorders>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8.预留呼叫显示屏、分机等位置</w:t>
            </w:r>
          </w:p>
        </w:tc>
        <w:tc>
          <w:tcPr>
            <w:tcW w:w="121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3" w:type="dxa"/>
            <w:vMerge w:val="continue"/>
            <w:tcBorders>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9.安装辅材</w:t>
            </w:r>
          </w:p>
        </w:tc>
        <w:tc>
          <w:tcPr>
            <w:tcW w:w="121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63" w:type="dxa"/>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4254" w:type="dxa"/>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Φ8*0.8</w:t>
            </w:r>
          </w:p>
        </w:tc>
        <w:tc>
          <w:tcPr>
            <w:tcW w:w="1217" w:type="dxa"/>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300米</w:t>
            </w:r>
          </w:p>
        </w:tc>
        <w:tc>
          <w:tcPr>
            <w:tcW w:w="2070"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6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425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Φ10*1.0</w:t>
            </w:r>
          </w:p>
        </w:tc>
        <w:tc>
          <w:tcPr>
            <w:tcW w:w="121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200米</w:t>
            </w:r>
          </w:p>
        </w:tc>
        <w:tc>
          <w:tcPr>
            <w:tcW w:w="207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6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425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Φ12*1.0</w:t>
            </w:r>
          </w:p>
        </w:tc>
        <w:tc>
          <w:tcPr>
            <w:tcW w:w="121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100米</w:t>
            </w:r>
          </w:p>
        </w:tc>
        <w:tc>
          <w:tcPr>
            <w:tcW w:w="207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53元/(米·次)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6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电源线铺设</w:t>
            </w:r>
          </w:p>
        </w:tc>
        <w:tc>
          <w:tcPr>
            <w:tcW w:w="425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ZRBV-2.5mm²</w:t>
            </w:r>
          </w:p>
        </w:tc>
        <w:tc>
          <w:tcPr>
            <w:tcW w:w="121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500米</w:t>
            </w:r>
          </w:p>
        </w:tc>
        <w:tc>
          <w:tcPr>
            <w:tcW w:w="207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3元/(米·次)</w:t>
            </w:r>
          </w:p>
        </w:tc>
      </w:tr>
    </w:tbl>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（注：结算金额按成交供应商及本院双方确认的验收单上的工作量乘以成交单价计算）</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 1、本院现有的设备带气体终端品牌为捷工、紫铜管型号为海亮，设备带的相关配件参照本院现有的品牌型号采购，须确保新安装的设备带能够与原系统相匹配且质量不低于现有品牌型号，且为原厂全新配件，设备带安装后须确保能够正常使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（响应供应商需对</w:t>
      </w:r>
      <w:r>
        <w:rPr>
          <w:rFonts w:hint="default" w:ascii="仿宋" w:hAnsi="仿宋" w:eastAsia="仿宋" w:cs="仿宋"/>
          <w:b/>
          <w:bCs/>
          <w:sz w:val="24"/>
          <w:szCs w:val="24"/>
          <w:lang w:val="en-US" w:eastAsia="zh-CN"/>
        </w:rPr>
        <w:t>“★”号条款</w:t>
      </w:r>
      <w:r>
        <w:rPr>
          <w:rFonts w:hint="eastAsia" w:ascii="仿宋" w:hAnsi="仿宋" w:eastAsia="仿宋" w:cs="仿宋"/>
          <w:b/>
          <w:bCs/>
          <w:sz w:val="24"/>
          <w:szCs w:val="24"/>
          <w:lang w:val="en-US" w:eastAsia="zh-CN"/>
        </w:rPr>
        <w:t>的全部要求进行响应且响应内容</w:t>
      </w:r>
      <w:r>
        <w:rPr>
          <w:rFonts w:hint="default" w:ascii="仿宋" w:hAnsi="仿宋" w:eastAsia="仿宋" w:cs="仿宋"/>
          <w:b/>
          <w:bCs/>
          <w:sz w:val="24"/>
          <w:szCs w:val="24"/>
          <w:lang w:val="en-US" w:eastAsia="zh-CN"/>
        </w:rPr>
        <w:t>符合</w:t>
      </w:r>
      <w:r>
        <w:rPr>
          <w:rFonts w:hint="eastAsia" w:ascii="仿宋" w:hAnsi="仿宋" w:eastAsia="仿宋" w:cs="仿宋"/>
          <w:b/>
          <w:bCs/>
          <w:sz w:val="24"/>
          <w:szCs w:val="24"/>
          <w:lang w:val="en-US" w:eastAsia="zh-CN"/>
        </w:rPr>
        <w:t>要求</w:t>
      </w:r>
      <w:r>
        <w:rPr>
          <w:rFonts w:hint="default" w:ascii="仿宋" w:hAnsi="仿宋" w:eastAsia="仿宋" w:cs="仿宋"/>
          <w:b/>
          <w:bCs/>
          <w:sz w:val="24"/>
          <w:szCs w:val="24"/>
          <w:lang w:val="en-US" w:eastAsia="zh-CN"/>
        </w:rPr>
        <w:t>。</w:t>
      </w:r>
      <w:r>
        <w:rPr>
          <w:rFonts w:hint="eastAsia" w:ascii="仿宋" w:hAnsi="仿宋" w:eastAsia="仿宋" w:cs="仿宋"/>
          <w:b/>
          <w:bCs/>
          <w:sz w:val="24"/>
          <w:szCs w:val="24"/>
          <w:lang w:val="en-US" w:eastAsia="zh-CN"/>
        </w:rPr>
        <w:t>响应供应商</w:t>
      </w:r>
      <w:r>
        <w:rPr>
          <w:rFonts w:hint="default" w:ascii="仿宋" w:hAnsi="仿宋" w:eastAsia="仿宋" w:cs="仿宋"/>
          <w:b/>
          <w:bCs/>
          <w:sz w:val="24"/>
          <w:szCs w:val="24"/>
          <w:lang w:val="en-US" w:eastAsia="zh-CN"/>
        </w:rPr>
        <w:t>必须</w:t>
      </w:r>
      <w:r>
        <w:rPr>
          <w:rFonts w:hint="eastAsia" w:ascii="仿宋" w:hAnsi="仿宋" w:eastAsia="仿宋" w:cs="仿宋"/>
          <w:b/>
          <w:bCs/>
          <w:sz w:val="24"/>
          <w:szCs w:val="24"/>
          <w:lang w:val="en-US" w:eastAsia="zh-CN"/>
        </w:rPr>
        <w:t>如实提供承诺函及必要的证明文件</w:t>
      </w:r>
      <w:r>
        <w:rPr>
          <w:rFonts w:hint="default" w:ascii="仿宋" w:hAnsi="仿宋" w:eastAsia="仿宋" w:cs="仿宋"/>
          <w:b/>
          <w:bCs/>
          <w:sz w:val="24"/>
          <w:szCs w:val="24"/>
          <w:lang w:val="en-US" w:eastAsia="zh-CN"/>
        </w:rPr>
        <w:t>，如</w:t>
      </w:r>
      <w:r>
        <w:rPr>
          <w:rFonts w:hint="eastAsia" w:ascii="仿宋" w:hAnsi="仿宋" w:eastAsia="仿宋" w:cs="仿宋"/>
          <w:b/>
          <w:bCs/>
          <w:sz w:val="24"/>
          <w:szCs w:val="24"/>
          <w:lang w:val="en-US" w:eastAsia="zh-CN"/>
        </w:rPr>
        <w:t>确有特殊情况</w:t>
      </w:r>
      <w:r>
        <w:rPr>
          <w:rFonts w:hint="default" w:ascii="仿宋" w:hAnsi="仿宋" w:eastAsia="仿宋" w:cs="仿宋"/>
          <w:b/>
          <w:bCs/>
          <w:sz w:val="24"/>
          <w:szCs w:val="24"/>
          <w:lang w:val="en-US" w:eastAsia="zh-CN"/>
        </w:rPr>
        <w:t>不能</w:t>
      </w:r>
      <w:r>
        <w:rPr>
          <w:rFonts w:hint="eastAsia" w:ascii="仿宋" w:hAnsi="仿宋" w:eastAsia="仿宋" w:cs="仿宋"/>
          <w:b/>
          <w:bCs/>
          <w:sz w:val="24"/>
          <w:szCs w:val="24"/>
          <w:lang w:val="en-US" w:eastAsia="zh-CN"/>
        </w:rPr>
        <w:t>对</w:t>
      </w:r>
      <w:r>
        <w:rPr>
          <w:rFonts w:hint="default" w:ascii="仿宋" w:hAnsi="仿宋" w:eastAsia="仿宋" w:cs="仿宋"/>
          <w:b/>
          <w:bCs/>
          <w:sz w:val="24"/>
          <w:szCs w:val="24"/>
          <w:lang w:val="en-US" w:eastAsia="zh-CN"/>
        </w:rPr>
        <w:t>“★”号条款</w:t>
      </w:r>
      <w:r>
        <w:rPr>
          <w:rFonts w:hint="eastAsia" w:ascii="仿宋" w:hAnsi="仿宋" w:eastAsia="仿宋" w:cs="仿宋"/>
          <w:b/>
          <w:bCs/>
          <w:sz w:val="24"/>
          <w:szCs w:val="24"/>
          <w:lang w:val="en-US" w:eastAsia="zh-CN"/>
        </w:rPr>
        <w:t>的全部或部分内容提供承诺函及相关证明文件，需在响应文件中附上书面</w:t>
      </w:r>
      <w:r>
        <w:rPr>
          <w:rFonts w:hint="default" w:ascii="仿宋" w:hAnsi="仿宋" w:eastAsia="仿宋" w:cs="仿宋"/>
          <w:b/>
          <w:bCs/>
          <w:sz w:val="24"/>
          <w:szCs w:val="24"/>
          <w:lang w:val="en-US" w:eastAsia="zh-CN"/>
        </w:rPr>
        <w:t>说明</w:t>
      </w:r>
      <w:r>
        <w:rPr>
          <w:rFonts w:hint="eastAsia" w:ascii="仿宋" w:hAnsi="仿宋" w:eastAsia="仿宋" w:cs="仿宋"/>
          <w:b/>
          <w:bCs/>
          <w:sz w:val="24"/>
          <w:szCs w:val="24"/>
          <w:lang w:val="en-US" w:eastAsia="zh-CN"/>
        </w:rPr>
        <w:t>，由评审小组判定是否符合</w:t>
      </w:r>
      <w:r>
        <w:rPr>
          <w:rFonts w:hint="default" w:ascii="仿宋" w:hAnsi="仿宋" w:eastAsia="仿宋" w:cs="仿宋"/>
          <w:b/>
          <w:bCs/>
          <w:sz w:val="24"/>
          <w:szCs w:val="24"/>
          <w:lang w:val="en-US" w:eastAsia="zh-CN"/>
        </w:rPr>
        <w:t>“★”号条款</w:t>
      </w:r>
      <w:r>
        <w:rPr>
          <w:rFonts w:hint="eastAsia" w:ascii="仿宋" w:hAnsi="仿宋" w:eastAsia="仿宋" w:cs="仿宋"/>
          <w:b/>
          <w:bCs/>
          <w:sz w:val="24"/>
          <w:szCs w:val="24"/>
          <w:lang w:val="en-US" w:eastAsia="zh-CN"/>
        </w:rPr>
        <w:t>的要求</w:t>
      </w:r>
      <w:r>
        <w:rPr>
          <w:rFonts w:hint="default" w:ascii="仿宋" w:hAnsi="仿宋" w:eastAsia="仿宋" w:cs="仿宋"/>
          <w:b/>
          <w:bCs/>
          <w:sz w:val="24"/>
          <w:szCs w:val="24"/>
          <w:lang w:val="en-US" w:eastAsia="zh-CN"/>
        </w:rPr>
        <w:t>。</w:t>
      </w:r>
      <w:r>
        <w:rPr>
          <w:rFonts w:hint="eastAsia" w:ascii="仿宋" w:hAnsi="仿宋" w:eastAsia="仿宋" w:cs="仿宋"/>
          <w:b/>
          <w:bCs/>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2、安装的设备带气体终端须做好相应标识。安装的设备带在正常使用的情况下须质保至少2年,质保期内因产品质量问题导致设备带无法使用的，成交供应商须无偿负责修复及更换。</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3、成交供应商进行设备带安装作业前需按照本院的管理规定进行报备，动火作业前进行报备，无条件服从本院相关规章制度的管理。</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二、</w:t>
      </w:r>
      <w:r>
        <w:rPr>
          <w:rFonts w:hint="eastAsia" w:ascii="仿宋" w:hAnsi="仿宋" w:eastAsia="仿宋" w:cs="仿宋"/>
          <w:b/>
          <w:bCs/>
          <w:sz w:val="24"/>
          <w:szCs w:val="24"/>
          <w:lang w:val="en-US" w:eastAsia="zh-CN"/>
        </w:rPr>
        <w:t>报价要求</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1、响应供应商必须对本项目的全部需求内容进行响应报价，且</w:t>
      </w:r>
      <w:r>
        <w:rPr>
          <w:rFonts w:hint="eastAsia" w:ascii="仿宋" w:hAnsi="仿宋" w:eastAsia="仿宋" w:cs="仿宋"/>
          <w:b w:val="0"/>
          <w:bCs w:val="0"/>
          <w:color w:val="000000"/>
          <w:kern w:val="0"/>
          <w:sz w:val="24"/>
          <w:szCs w:val="24"/>
          <w:highlight w:val="none"/>
          <w:lang w:val="zh-CN" w:eastAsia="zh-CN"/>
        </w:rPr>
        <w:t>响应报价未超过本项目</w:t>
      </w:r>
      <w:r>
        <w:rPr>
          <w:rFonts w:hint="eastAsia" w:ascii="仿宋" w:hAnsi="仿宋" w:eastAsia="仿宋" w:cs="仿宋"/>
          <w:b w:val="0"/>
          <w:bCs w:val="0"/>
          <w:color w:val="000000"/>
          <w:kern w:val="0"/>
          <w:sz w:val="24"/>
          <w:szCs w:val="24"/>
          <w:highlight w:val="none"/>
          <w:lang w:val="en-US" w:eastAsia="zh-CN"/>
        </w:rPr>
        <w:t>采购预算（最高限价）人民币265960元</w:t>
      </w:r>
      <w:r>
        <w:rPr>
          <w:rFonts w:hint="eastAsia" w:ascii="仿宋" w:hAnsi="仿宋" w:eastAsia="仿宋" w:cs="仿宋"/>
          <w:b w:val="0"/>
          <w:bCs w:val="0"/>
          <w:color w:val="000000"/>
          <w:kern w:val="0"/>
          <w:sz w:val="24"/>
          <w:szCs w:val="24"/>
          <w:highlight w:val="none"/>
          <w:lang w:val="zh-CN" w:eastAsia="zh-CN"/>
        </w:rPr>
        <w:t>。</w:t>
      </w:r>
      <w:r>
        <w:rPr>
          <w:rFonts w:hint="eastAsia" w:ascii="仿宋" w:hAnsi="仿宋" w:eastAsia="仿宋" w:cs="仿宋"/>
          <w:b w:val="0"/>
          <w:bCs w:val="0"/>
          <w:color w:val="000000"/>
          <w:kern w:val="0"/>
          <w:sz w:val="24"/>
          <w:szCs w:val="24"/>
          <w:highlight w:val="none"/>
          <w:lang w:val="en-US" w:eastAsia="zh-CN"/>
        </w:rPr>
        <w:t>响应供应商为完成本项目而可能产生的所有费用（包括但不限于安装配件的购买成本、运输费、人工费、管理费、应缴的税费等所有费用），均视为已包括在响应报价内。如有缺漏或超出采购预算（最高限价），将导致响应无效。总报价超出项目的最高限价，将作无效响应处理。</w:t>
      </w:r>
      <w:r>
        <w:rPr>
          <w:rFonts w:hint="eastAsia" w:ascii="仿宋" w:hAnsi="仿宋" w:eastAsia="仿宋" w:cs="仿宋"/>
          <w:b w:val="0"/>
          <w:bCs w:val="0"/>
          <w:color w:val="000000"/>
          <w:kern w:val="0"/>
          <w:sz w:val="24"/>
          <w:szCs w:val="24"/>
          <w:highlight w:val="none"/>
          <w:lang w:val="zh-CN" w:eastAsia="zh-CN"/>
        </w:rPr>
        <w:t>如任一单项报价超出</w:t>
      </w:r>
      <w:r>
        <w:rPr>
          <w:rFonts w:hint="eastAsia" w:ascii="仿宋" w:hAnsi="仿宋" w:eastAsia="仿宋" w:cs="仿宋"/>
          <w:b w:val="0"/>
          <w:bCs w:val="0"/>
          <w:color w:val="000000"/>
          <w:kern w:val="0"/>
          <w:sz w:val="24"/>
          <w:szCs w:val="24"/>
          <w:highlight w:val="none"/>
          <w:lang w:val="en-US" w:eastAsia="zh-CN"/>
        </w:rPr>
        <w:t>单价</w:t>
      </w:r>
      <w:r>
        <w:rPr>
          <w:rFonts w:hint="eastAsia" w:ascii="仿宋" w:hAnsi="仿宋" w:eastAsia="仿宋" w:cs="仿宋"/>
          <w:b w:val="0"/>
          <w:bCs w:val="0"/>
          <w:color w:val="000000"/>
          <w:kern w:val="0"/>
          <w:sz w:val="24"/>
          <w:szCs w:val="24"/>
          <w:highlight w:val="none"/>
          <w:lang w:val="zh-CN" w:eastAsia="zh-CN"/>
        </w:rPr>
        <w:t>限价，将作无效</w:t>
      </w:r>
      <w:r>
        <w:rPr>
          <w:rFonts w:hint="eastAsia" w:ascii="仿宋" w:hAnsi="仿宋" w:eastAsia="仿宋" w:cs="仿宋"/>
          <w:b w:val="0"/>
          <w:bCs w:val="0"/>
          <w:color w:val="000000"/>
          <w:kern w:val="0"/>
          <w:sz w:val="24"/>
          <w:szCs w:val="24"/>
          <w:highlight w:val="none"/>
          <w:lang w:val="en-US" w:eastAsia="zh-CN"/>
        </w:rPr>
        <w:t>响应</w:t>
      </w:r>
      <w:r>
        <w:rPr>
          <w:rFonts w:hint="eastAsia" w:ascii="仿宋" w:hAnsi="仿宋" w:eastAsia="仿宋" w:cs="仿宋"/>
          <w:b w:val="0"/>
          <w:bCs w:val="0"/>
          <w:color w:val="000000"/>
          <w:kern w:val="0"/>
          <w:sz w:val="24"/>
          <w:szCs w:val="24"/>
          <w:highlight w:val="none"/>
          <w:lang w:val="zh-CN" w:eastAsia="zh-CN"/>
        </w:rPr>
        <w:t>处理。如有少报、漏报的单项报价，视为已包含在总报价内，如成交，采购人不再另行支付总报价以外的其他费用。</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2、报价有效期：自本项目响应文件接收截止日期起90个日历日。如成交，报价有效期将延至合同终止日为止。</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3、报价以人民币为货币单位。报价应为固定唯一值且不得为 0 或负数，否则将作无效响应处理。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kern w:val="2"/>
          <w:sz w:val="24"/>
          <w:szCs w:val="24"/>
          <w:lang w:val="en-US" w:eastAsia="zh-CN" w:bidi="ar-SA"/>
        </w:rPr>
        <w:t>三、结算及付款安排</w:t>
      </w:r>
      <w:r>
        <w:rPr>
          <w:rFonts w:hint="eastAsia" w:ascii="仿宋" w:hAnsi="仿宋" w:eastAsia="仿宋" w:cs="仿宋"/>
          <w:b w:val="0"/>
          <w:bCs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1、本项目服务费用的结算及支付均以人民币为货币单位。</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2、本项目服务费用以成交供应商的响应报价为合同价格，结算时不因合同履行期限内的政策性调整文件而变化。结算金额按成交供应商及本院双方确认的验收单上的工作量乘以成交单价计算。</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服务费用按季度结算及支付，每季度完结后，在下一季度首月10号前成交供应商及本院双方确认工作量后签署验收单，服务费用结算金额按甲乙双方确认的验收单上的工作量乘以成交单价计算，成交供应商按照结算金额开具发票，在符合院内财务审核流程后十个工作日内支付上一季度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default"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pStyle w:val="10"/>
        <w:rPr>
          <w:rFonts w:hint="eastAsia" w:ascii="仿宋" w:hAnsi="仿宋" w:eastAsia="仿宋" w:cs="仿宋"/>
          <w:b/>
          <w:bCs/>
          <w:sz w:val="44"/>
          <w:szCs w:val="44"/>
          <w:lang w:val="en-US" w:eastAsia="zh-CN"/>
        </w:rPr>
      </w:pPr>
    </w:p>
    <w:p>
      <w:pPr>
        <w:rPr>
          <w:rFonts w:hint="eastAsia" w:ascii="仿宋" w:hAnsi="仿宋" w:eastAsia="仿宋" w:cs="仿宋"/>
          <w:b/>
          <w:bCs/>
          <w:sz w:val="44"/>
          <w:szCs w:val="44"/>
          <w:lang w:val="en-US" w:eastAsia="zh-CN"/>
        </w:rPr>
      </w:pPr>
    </w:p>
    <w:p>
      <w:pPr>
        <w:pStyle w:val="10"/>
        <w:rPr>
          <w:rFonts w:hint="eastAsia"/>
          <w:lang w:val="en-US" w:eastAsia="zh-CN"/>
        </w:rPr>
      </w:pPr>
    </w:p>
    <w:p>
      <w:pPr>
        <w:bidi w:val="0"/>
        <w:jc w:val="both"/>
        <w:rPr>
          <w:rFonts w:hint="eastAsia" w:ascii="仿宋" w:hAnsi="仿宋" w:eastAsia="仿宋" w:cs="仿宋"/>
          <w:b/>
          <w:bCs/>
          <w:sz w:val="44"/>
          <w:szCs w:val="44"/>
          <w:lang w:val="en-US" w:eastAsia="zh-CN"/>
        </w:rPr>
      </w:pPr>
    </w:p>
    <w:bookmarkEnd w:id="0"/>
    <w:bookmarkEnd w:id="1"/>
    <w:bookmarkEnd w:id="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lang w:val="en-US" w:eastAsia="zh-CN"/>
        </w:rPr>
        <w:t xml:space="preserve">第三部分 </w:t>
      </w:r>
      <w:r>
        <w:rPr>
          <w:rFonts w:hint="eastAsia" w:ascii="仿宋" w:hAnsi="仿宋" w:eastAsia="仿宋" w:cs="仿宋"/>
          <w:b/>
          <w:bCs/>
          <w:kern w:val="44"/>
          <w:sz w:val="28"/>
          <w:szCs w:val="28"/>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响应供应商应</w:t>
      </w:r>
      <w:r>
        <w:rPr>
          <w:rFonts w:hint="eastAsia" w:ascii="仿宋" w:hAnsi="仿宋" w:eastAsia="仿宋" w:cs="仿宋"/>
          <w:color w:val="000000"/>
          <w:sz w:val="24"/>
          <w:szCs w:val="24"/>
          <w:highlight w:val="none"/>
        </w:rPr>
        <w:t>按本</w:t>
      </w:r>
      <w:r>
        <w:rPr>
          <w:rFonts w:hint="eastAsia" w:ascii="仿宋" w:hAnsi="仿宋" w:eastAsia="仿宋" w:cs="仿宋"/>
          <w:color w:val="000000"/>
          <w:sz w:val="24"/>
          <w:szCs w:val="24"/>
          <w:highlight w:val="none"/>
          <w:lang w:val="en-US" w:eastAsia="zh-CN"/>
        </w:rPr>
        <w:t>采购文件《第五部分 响应文件格式》</w:t>
      </w:r>
      <w:r>
        <w:rPr>
          <w:rFonts w:hint="eastAsia" w:ascii="仿宋" w:hAnsi="仿宋" w:eastAsia="仿宋" w:cs="仿宋"/>
          <w:color w:val="000000"/>
          <w:sz w:val="24"/>
          <w:szCs w:val="24"/>
          <w:highlight w:val="none"/>
        </w:rPr>
        <w:t>以A4版面统一编制</w:t>
      </w:r>
      <w:r>
        <w:rPr>
          <w:rFonts w:hint="eastAsia" w:ascii="仿宋" w:hAnsi="仿宋" w:eastAsia="仿宋" w:cs="仿宋"/>
          <w:color w:val="000000"/>
          <w:sz w:val="24"/>
          <w:szCs w:val="24"/>
          <w:highlight w:val="none"/>
          <w:lang w:val="en-US" w:eastAsia="zh-CN"/>
        </w:rPr>
        <w:t>响应文件</w:t>
      </w:r>
      <w:r>
        <w:rPr>
          <w:rFonts w:hint="eastAsia" w:ascii="仿宋" w:hAnsi="仿宋" w:eastAsia="仿宋" w:cs="仿宋"/>
          <w:color w:val="000000"/>
          <w:sz w:val="24"/>
          <w:szCs w:val="24"/>
          <w:highlight w:val="none"/>
        </w:rPr>
        <w:t>（每份内页须按顺序加注页码），</w:t>
      </w:r>
      <w:r>
        <w:rPr>
          <w:rFonts w:hint="eastAsia" w:ascii="仿宋" w:hAnsi="仿宋" w:eastAsia="仿宋" w:cs="仿宋"/>
          <w:color w:val="000000"/>
          <w:sz w:val="24"/>
          <w:szCs w:val="24"/>
          <w:highlight w:val="none"/>
          <w:lang w:val="en-US" w:eastAsia="zh-CN"/>
        </w:rPr>
        <w:t>并</w:t>
      </w:r>
      <w:r>
        <w:rPr>
          <w:rFonts w:hint="eastAsia" w:ascii="仿宋" w:hAnsi="仿宋" w:eastAsia="仿宋" w:cs="仿宋"/>
          <w:color w:val="000000"/>
          <w:sz w:val="24"/>
          <w:szCs w:val="24"/>
          <w:highlight w:val="none"/>
        </w:rPr>
        <w:t>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w:t>
      </w:r>
      <w:r>
        <w:rPr>
          <w:rFonts w:hint="eastAsia" w:ascii="仿宋" w:hAnsi="仿宋" w:eastAsia="仿宋" w:cs="仿宋"/>
          <w:b w:val="0"/>
          <w:bCs/>
          <w:color w:val="000000"/>
          <w:sz w:val="24"/>
          <w:szCs w:val="24"/>
          <w:highlight w:val="none"/>
        </w:rPr>
        <w:t>响应文件中的任何插字、涂改和增删，必须由法定代表人或经其正式授权的代表在修改处签字或盖章。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2" w:firstLineChars="200"/>
        <w:jc w:val="both"/>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b/>
          <w:bCs/>
          <w:color w:val="000000"/>
          <w:sz w:val="24"/>
          <w:szCs w:val="24"/>
          <w:highlight w:val="none"/>
          <w:lang w:val="en-US" w:eastAsia="zh-CN"/>
        </w:rPr>
        <w:t>妥善装订并</w:t>
      </w:r>
      <w:r>
        <w:rPr>
          <w:rFonts w:hint="eastAsia" w:ascii="仿宋" w:hAnsi="仿宋" w:eastAsia="仿宋" w:cs="仿宋"/>
          <w:b/>
          <w:bCs/>
          <w:color w:val="000000"/>
          <w:sz w:val="24"/>
          <w:szCs w:val="24"/>
          <w:highlight w:val="none"/>
        </w:rPr>
        <w:t>密封</w:t>
      </w:r>
      <w:r>
        <w:rPr>
          <w:rFonts w:hint="eastAsia" w:ascii="仿宋" w:hAnsi="仿宋" w:eastAsia="仿宋" w:cs="仿宋"/>
          <w:color w:val="000000"/>
          <w:sz w:val="24"/>
          <w:szCs w:val="24"/>
          <w:highlight w:val="none"/>
        </w:rPr>
        <w:t>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以快递方式寄达</w:t>
      </w: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sz w:val="24"/>
          <w:szCs w:val="24"/>
          <w:lang w:val="zh-CN" w:eastAsia="zh-CN"/>
        </w:rPr>
        <w:t>（以下简称“</w:t>
      </w:r>
      <w:r>
        <w:rPr>
          <w:rFonts w:hint="eastAsia" w:ascii="仿宋" w:hAnsi="仿宋" w:eastAsia="仿宋" w:cs="仿宋"/>
          <w:sz w:val="24"/>
          <w:szCs w:val="24"/>
          <w:lang w:val="en-US" w:eastAsia="zh-CN"/>
        </w:rPr>
        <w:t>本</w:t>
      </w:r>
      <w:r>
        <w:rPr>
          <w:rFonts w:hint="eastAsia" w:ascii="仿宋" w:hAnsi="仿宋" w:eastAsia="仿宋" w:cs="仿宋"/>
          <w:sz w:val="24"/>
          <w:szCs w:val="24"/>
          <w:lang w:val="zh-CN" w:eastAsia="zh-CN"/>
        </w:rPr>
        <w:t>院”）</w:t>
      </w:r>
      <w:r>
        <w:rPr>
          <w:rFonts w:hint="eastAsia" w:ascii="仿宋" w:hAnsi="仿宋" w:eastAsia="仿宋" w:cs="仿宋"/>
          <w:b w:val="0"/>
          <w:bCs/>
          <w:color w:val="000000"/>
          <w:sz w:val="24"/>
          <w:szCs w:val="24"/>
          <w:highlight w:val="none"/>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color w:val="000000"/>
          <w:sz w:val="24"/>
          <w:szCs w:val="24"/>
          <w:highlight w:val="none"/>
        </w:rPr>
        <w:t>本项目</w:t>
      </w:r>
      <w:r>
        <w:rPr>
          <w:rFonts w:hint="eastAsia" w:ascii="仿宋" w:hAnsi="仿宋" w:eastAsia="仿宋" w:cs="仿宋"/>
          <w:b w:val="0"/>
          <w:bCs/>
          <w:color w:val="000000"/>
          <w:sz w:val="24"/>
          <w:szCs w:val="24"/>
          <w:highlight w:val="none"/>
          <w:lang w:val="en-US" w:eastAsia="zh-CN"/>
        </w:rPr>
        <w:t>不</w:t>
      </w:r>
      <w:r>
        <w:rPr>
          <w:rFonts w:hint="eastAsia" w:ascii="仿宋" w:hAnsi="仿宋" w:eastAsia="仿宋" w:cs="仿宋"/>
          <w:b w:val="0"/>
          <w:bCs/>
          <w:color w:val="000000"/>
          <w:sz w:val="24"/>
          <w:szCs w:val="24"/>
          <w:highlight w:val="none"/>
        </w:rPr>
        <w:t>要求提交样品</w:t>
      </w:r>
      <w:r>
        <w:rPr>
          <w:rFonts w:hint="eastAsia" w:ascii="仿宋" w:hAnsi="仿宋" w:eastAsia="仿宋" w:cs="仿宋"/>
          <w:b w:val="0"/>
          <w:bCs/>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三、采购评审规则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sz w:val="24"/>
          <w:szCs w:val="24"/>
          <w:highlight w:val="none"/>
          <w:lang w:val="en-US" w:eastAsia="zh-CN"/>
        </w:rPr>
        <w:t>综合评分法</w:t>
      </w:r>
      <w:r>
        <w:rPr>
          <w:rFonts w:hint="eastAsia" w:ascii="仿宋" w:hAnsi="仿宋" w:eastAsia="仿宋" w:cs="仿宋"/>
          <w:color w:val="000000"/>
          <w:sz w:val="24"/>
          <w:szCs w:val="24"/>
          <w:highlight w:val="none"/>
          <w:lang w:val="en-US" w:eastAsia="zh-CN"/>
        </w:rPr>
        <w:t>，由采购人从专家库中随机抽取评审专家组成评审小组进行评审，并</w:t>
      </w:r>
      <w:r>
        <w:rPr>
          <w:rFonts w:hint="eastAsia" w:ascii="仿宋" w:hAnsi="仿宋" w:eastAsia="仿宋" w:cs="仿宋"/>
          <w:b w:val="0"/>
          <w:spacing w:val="0"/>
          <w:kern w:val="2"/>
          <w:sz w:val="24"/>
          <w:szCs w:val="24"/>
          <w:lang w:val="en-US" w:eastAsia="zh-CN" w:bidi="ar-SA"/>
        </w:rPr>
        <w:t>根据响应文件齐全、满足采购文件的全部要求且综合得分最高的原则确定成交供应商。</w:t>
      </w:r>
    </w:p>
    <w:p>
      <w:pPr>
        <w:pStyle w:val="33"/>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2、评审小组对各响应供应商进行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rPr>
        <w:t>阶段中的得分，采用下面公式算出每个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 xml:space="preserve">的综合得分： </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20</w:t>
      </w:r>
      <w:r>
        <w:rPr>
          <w:rFonts w:hint="eastAsia" w:ascii="仿宋" w:hAnsi="仿宋" w:eastAsia="仿宋" w:cs="仿宋"/>
          <w:sz w:val="24"/>
          <w:szCs w:val="24"/>
        </w:rPr>
        <w:t xml:space="preserve"> ＋ T ＋ M </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其中：</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的综合得分；</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即基准价</w:t>
      </w:r>
      <w:r>
        <w:rPr>
          <w:rFonts w:hint="eastAsia" w:ascii="仿宋" w:hAnsi="仿宋" w:eastAsia="仿宋" w:cs="仿宋"/>
          <w:sz w:val="24"/>
          <w:szCs w:val="24"/>
        </w:rPr>
        <w:t>；</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的技术评审得分；</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的商务评审得分；</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3"/>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val="0"/>
          <w:spacing w:val="0"/>
          <w:kern w:val="2"/>
          <w:sz w:val="24"/>
          <w:szCs w:val="24"/>
          <w:lang w:val="en-US" w:eastAsia="zh-CN" w:bidi="ar-SA"/>
        </w:rPr>
        <w:t>3、评审小组按照综合得分由高到低的顺序推荐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排名。综合得分、价格评分、技术部分、商务部分得分均相同的，以响应文件寄出时间最早的供应商为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4、采购人根据评审小组的评审情况编写评审资料并由评审小组成员现场签名确认。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评审小组成员对资格审查或符合性审查认定意见等</w:t>
      </w:r>
      <w:r>
        <w:rPr>
          <w:rFonts w:hint="eastAsia" w:ascii="仿宋" w:hAnsi="仿宋" w:eastAsia="仿宋" w:cs="仿宋"/>
          <w:b/>
          <w:bCs/>
          <w:spacing w:val="0"/>
          <w:kern w:val="2"/>
          <w:sz w:val="24"/>
          <w:szCs w:val="24"/>
          <w:lang w:val="en-US" w:eastAsia="zh-CN" w:bidi="ar-SA"/>
        </w:rPr>
        <w:t>需要共同评定的事项</w:t>
      </w:r>
      <w:r>
        <w:rPr>
          <w:rFonts w:hint="eastAsia" w:ascii="仿宋" w:hAnsi="仿宋" w:eastAsia="仿宋" w:cs="仿宋"/>
          <w:b w:val="0"/>
          <w:spacing w:val="0"/>
          <w:kern w:val="2"/>
          <w:sz w:val="24"/>
          <w:szCs w:val="24"/>
          <w:lang w:val="en-US" w:eastAsia="zh-CN" w:bidi="ar-SA"/>
        </w:rPr>
        <w:t>存在不一致意见的，应当按照少数服从多数的原则作出结论。持不同意见的评审小组成员应当在评审资料上签署不同意见并说明理由，若拒绝在评审资料上签名确认又不签署其不同意见和理由的，视为同意。</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资格审查：评审小组根据《资格审查表》内容逐条进行审查。</w:t>
      </w:r>
    </w:p>
    <w:p>
      <w:pPr>
        <w:pStyle w:val="9"/>
        <w:keepNext w:val="0"/>
        <w:keepLines w:val="0"/>
        <w:pageBreakBefore w:val="0"/>
        <w:widowControl w:val="0"/>
        <w:kinsoku/>
        <w:wordWrap/>
        <w:overflowPunct/>
        <w:topLinePunct w:val="0"/>
        <w:autoSpaceDE/>
        <w:autoSpaceDN/>
        <w:bidi w:val="0"/>
        <w:adjustRightInd w:val="0"/>
        <w:snapToGrid w:val="0"/>
        <w:spacing w:line="400" w:lineRule="exact"/>
        <w:ind w:left="0" w:firstLine="359"/>
        <w:jc w:val="center"/>
        <w:textAlignment w:val="auto"/>
        <w:rPr>
          <w:rFonts w:hint="eastAsia"/>
          <w:lang w:val="en-US" w:eastAsia="zh-CN"/>
        </w:rPr>
      </w:pPr>
      <w:r>
        <w:rPr>
          <w:rFonts w:hint="eastAsia" w:ascii="仿宋" w:hAnsi="仿宋" w:eastAsia="仿宋" w:cs="仿宋"/>
          <w:b/>
          <w:bCs w:val="0"/>
          <w:color w:val="000000"/>
          <w:sz w:val="24"/>
          <w:szCs w:val="24"/>
          <w:highlight w:val="none"/>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响应供应商应为中华人民共和国境内注册的具有独立承担民事责任能力的法人，且具备履行本项目所必需的资质、人员、设备和专业技术能力。</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供应商应提供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2、响应供应商应提供有效的</w:t>
            </w:r>
            <w:r>
              <w:rPr>
                <w:rFonts w:hint="eastAsia" w:ascii="仿宋" w:hAnsi="仿宋" w:eastAsia="仿宋" w:cs="仿宋"/>
                <w:sz w:val="24"/>
                <w:szCs w:val="24"/>
                <w:lang w:val="zh-CN" w:eastAsia="zh-CN"/>
              </w:rPr>
              <w:t>建筑机电安装工程专业承包三级或以上</w:t>
            </w:r>
            <w:r>
              <w:rPr>
                <w:rFonts w:hint="eastAsia" w:ascii="仿宋" w:hAnsi="仿宋" w:eastAsia="仿宋" w:cs="仿宋"/>
                <w:sz w:val="24"/>
                <w:szCs w:val="24"/>
                <w:lang w:val="en-US" w:eastAsia="zh-CN"/>
              </w:rPr>
              <w:t>资质证书及《安全生产许可证》复印件并加盖公章。</w:t>
            </w:r>
          </w:p>
          <w:p>
            <w:pPr>
              <w:spacing w:line="360" w:lineRule="auto"/>
              <w:outlineLvl w:val="9"/>
              <w:rPr>
                <w:rFonts w:hint="eastAsia"/>
                <w:lang w:val="en-US" w:eastAsia="zh-CN"/>
              </w:rPr>
            </w:pPr>
            <w:r>
              <w:rPr>
                <w:rFonts w:hint="eastAsia" w:ascii="仿宋" w:hAnsi="仿宋" w:eastAsia="仿宋" w:cs="仿宋"/>
                <w:sz w:val="24"/>
                <w:szCs w:val="24"/>
                <w:lang w:val="en-US" w:eastAsia="zh-CN"/>
              </w:rPr>
              <w:t>3、响应供应商应提供有效的《中华人民共和国特种设备制造许可证》（压力管道安装GC2级或以上）复印件并加盖公章。</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4、响应供应商应出具承诺函。</w:t>
            </w:r>
          </w:p>
          <w:p>
            <w:pPr>
              <w:pStyle w:val="33"/>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sz w:val="24"/>
                <w:szCs w:val="24"/>
                <w:lang w:val="en-US" w:eastAsia="zh-CN"/>
              </w:rPr>
              <w:t>5、以上证明材料均需加盖响应供应商公章。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响应供应商</w:t>
            </w:r>
            <w:r>
              <w:rPr>
                <w:rFonts w:hint="eastAsia" w:ascii="仿宋" w:hAnsi="仿宋" w:eastAsia="仿宋" w:cs="仿宋"/>
                <w:sz w:val="24"/>
                <w:szCs w:val="24"/>
              </w:rPr>
              <w:t>没有被列入失信被执行人、重大税收违法案件当事人名单（即税收违法黑名单）、政府采购严重违法失信行为记录名单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或者曾有不良信用记录但已失效。</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outlineLvl w:val="9"/>
              <w:rPr>
                <w:rFonts w:hint="eastAsia" w:ascii="仿宋" w:hAnsi="仿宋" w:eastAsia="仿宋" w:cs="仿宋"/>
                <w:b w:val="0"/>
                <w:bCs w:val="0"/>
                <w:sz w:val="24"/>
                <w:szCs w:val="24"/>
                <w:lang w:eastAsia="zh-CN"/>
              </w:rPr>
            </w:pPr>
            <w:r>
              <w:rPr>
                <w:rFonts w:hint="eastAsia" w:ascii="仿宋" w:hAnsi="仿宋" w:eastAsia="仿宋" w:cs="仿宋"/>
                <w:color w:val="000000"/>
                <w:sz w:val="24"/>
                <w:szCs w:val="24"/>
                <w:lang w:val="en-US" w:eastAsia="zh-CN"/>
              </w:rPr>
              <w:t>响应供应商只需按采购文件要求提供承诺函，</w:t>
            </w:r>
            <w:r>
              <w:rPr>
                <w:rFonts w:hint="eastAsia" w:ascii="仿宋" w:hAnsi="仿宋" w:eastAsia="仿宋" w:cs="仿宋"/>
                <w:color w:val="000000"/>
                <w:sz w:val="24"/>
                <w:szCs w:val="24"/>
                <w:lang w:val="zh-CN" w:eastAsia="zh-CN"/>
              </w:rPr>
              <w:t>以</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lang w:val="zh-CN" w:eastAsia="zh-CN"/>
              </w:rPr>
              <w:t>于</w:t>
            </w:r>
            <w:r>
              <w:rPr>
                <w:rFonts w:hint="eastAsia" w:ascii="仿宋" w:hAnsi="仿宋" w:eastAsia="仿宋" w:cs="仿宋"/>
                <w:color w:val="000000"/>
                <w:sz w:val="24"/>
                <w:szCs w:val="24"/>
                <w:lang w:val="en-US" w:eastAsia="zh-CN"/>
              </w:rPr>
              <w:t>采购评审会议</w:t>
            </w:r>
            <w:r>
              <w:rPr>
                <w:rFonts w:hint="eastAsia" w:ascii="仿宋" w:hAnsi="仿宋" w:eastAsia="仿宋" w:cs="仿宋"/>
                <w:color w:val="000000"/>
                <w:sz w:val="24"/>
                <w:szCs w:val="24"/>
                <w:lang w:val="zh-CN" w:eastAsia="zh-CN"/>
              </w:rPr>
              <w:t>当天在“信用中国” (www.creditchina.gov.cn) 及中国政府采购网查询结果为准。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法定代表人或单位负责人为同一人或者存在直接控股、管理关系的不同响应单位，不得同时参加本项目采购活动。</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sz w:val="24"/>
                <w:szCs w:val="24"/>
                <w:lang w:val="en-US" w:eastAsia="zh-CN"/>
              </w:rPr>
              <w:t>注：响应供应商出具承诺函并加盖公章。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w:t>
            </w:r>
          </w:p>
        </w:tc>
        <w:tc>
          <w:tcPr>
            <w:tcW w:w="8731" w:type="dxa"/>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本项目不接受联合体响应，</w:t>
            </w:r>
            <w:r>
              <w:rPr>
                <w:rFonts w:hint="eastAsia" w:ascii="仿宋" w:hAnsi="仿宋" w:eastAsia="仿宋" w:cs="仿宋"/>
                <w:sz w:val="24"/>
                <w:szCs w:val="24"/>
                <w:lang w:val="en-US" w:eastAsia="zh-CN"/>
              </w:rPr>
              <w:t>成交供应商不得以任何方式转包或分包本项目。</w:t>
            </w:r>
          </w:p>
          <w:p>
            <w:pPr>
              <w:pStyle w:val="33"/>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sz w:val="24"/>
                <w:szCs w:val="24"/>
                <w:lang w:val="en-US" w:eastAsia="zh-CN"/>
              </w:rPr>
              <w:t>注：响应供应商出具承诺函并加盖公章</w:t>
            </w:r>
          </w:p>
        </w:tc>
      </w:tr>
    </w:tbl>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6、符合性审查：评审小组根据《符合性审查表》内容逐条进行审查。</w:t>
      </w:r>
    </w:p>
    <w:p>
      <w:pPr>
        <w:pStyle w:val="22"/>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kern w:val="2"/>
                <w:sz w:val="21"/>
                <w:szCs w:val="24"/>
                <w:lang w:val="en-US" w:eastAsia="zh-CN" w:bidi="ar-SA"/>
              </w:rPr>
            </w:pPr>
            <w:r>
              <w:rPr>
                <w:rFonts w:hint="eastAsia" w:ascii="仿宋" w:hAnsi="仿宋" w:eastAsia="仿宋" w:cs="仿宋"/>
                <w:b w:val="0"/>
                <w:bCs/>
                <w:color w:val="000000"/>
                <w:sz w:val="24"/>
                <w:szCs w:val="24"/>
                <w:highlight w:val="none"/>
                <w:lang w:val="en-US" w:eastAsia="zh-CN"/>
              </w:rPr>
              <w:t>响应文件的每一页均需加盖响应供应商公章。</w:t>
            </w:r>
            <w:r>
              <w:rPr>
                <w:rFonts w:hint="eastAsia" w:ascii="仿宋" w:hAnsi="仿宋" w:eastAsia="仿宋" w:cs="仿宋"/>
                <w:b w:val="0"/>
                <w:bCs/>
                <w:color w:val="000000"/>
                <w:sz w:val="24"/>
                <w:szCs w:val="24"/>
                <w:highlight w:val="none"/>
              </w:rPr>
              <w:t>响应文件中的任何插字、涂改和增删，必须由</w:t>
            </w:r>
            <w:r>
              <w:rPr>
                <w:rFonts w:hint="eastAsia" w:ascii="仿宋" w:hAnsi="仿宋" w:eastAsia="仿宋" w:cs="仿宋"/>
                <w:b w:val="0"/>
                <w:bCs/>
                <w:color w:val="000000"/>
                <w:sz w:val="24"/>
                <w:szCs w:val="24"/>
                <w:highlight w:val="none"/>
                <w:lang w:val="en-US" w:eastAsia="zh-CN"/>
              </w:rPr>
              <w:t>响应供应商</w:t>
            </w:r>
            <w:r>
              <w:rPr>
                <w:rFonts w:hint="eastAsia" w:ascii="仿宋" w:hAnsi="仿宋" w:eastAsia="仿宋" w:cs="仿宋"/>
                <w:b w:val="0"/>
                <w:bCs/>
                <w:color w:val="000000"/>
                <w:sz w:val="24"/>
                <w:szCs w:val="24"/>
                <w:highlight w:val="none"/>
              </w:rPr>
              <w:t>法定代表人或经其正式授权的代表在修改处签字或盖章。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《法定代表人（负责人）身份证明书》载明的法定代表人/负责人应当与</w:t>
            </w:r>
            <w:r>
              <w:rPr>
                <w:rFonts w:hint="eastAsia" w:ascii="仿宋" w:hAnsi="仿宋" w:eastAsia="仿宋" w:cs="仿宋"/>
                <w:sz w:val="24"/>
                <w:szCs w:val="24"/>
                <w:lang w:val="en-US" w:eastAsia="zh-CN"/>
              </w:rPr>
              <w:t>有效</w:t>
            </w:r>
            <w:r>
              <w:rPr>
                <w:rFonts w:hint="eastAsia" w:ascii="仿宋" w:hAnsi="仿宋" w:eastAsia="仿宋" w:cs="仿宋"/>
                <w:sz w:val="24"/>
                <w:szCs w:val="24"/>
              </w:rPr>
              <w:t>营业执照</w:t>
            </w:r>
            <w:r>
              <w:rPr>
                <w:rFonts w:hint="eastAsia" w:ascii="仿宋" w:hAnsi="仿宋" w:eastAsia="仿宋" w:cs="仿宋"/>
                <w:sz w:val="24"/>
                <w:szCs w:val="24"/>
                <w:lang w:val="en-US" w:eastAsia="zh-CN"/>
              </w:rPr>
              <w:t>或事业法人登记证等相关证照</w:t>
            </w:r>
            <w:r>
              <w:rPr>
                <w:rFonts w:hint="eastAsia" w:ascii="仿宋" w:hAnsi="仿宋" w:eastAsia="仿宋" w:cs="仿宋"/>
                <w:sz w:val="24"/>
                <w:szCs w:val="24"/>
              </w:rPr>
              <w:t>上的一致。</w:t>
            </w:r>
          </w:p>
          <w:p>
            <w:pPr>
              <w:spacing w:line="360" w:lineRule="auto"/>
              <w:jc w:val="left"/>
              <w:rPr>
                <w:rFonts w:hint="eastAsia" w:ascii="仿宋" w:hAnsi="仿宋" w:eastAsia="仿宋" w:cs="仿宋"/>
                <w:kern w:val="2"/>
                <w:sz w:val="21"/>
                <w:szCs w:val="24"/>
                <w:lang w:val="en-US" w:eastAsia="zh-CN" w:bidi="ar-SA"/>
              </w:rPr>
            </w:pPr>
            <w:r>
              <w:rPr>
                <w:rFonts w:hint="eastAsia" w:ascii="仿宋" w:hAnsi="仿宋" w:eastAsia="仿宋" w:cs="仿宋"/>
                <w:sz w:val="24"/>
                <w:szCs w:val="24"/>
              </w:rPr>
              <w:t>若</w:t>
            </w:r>
            <w:r>
              <w:rPr>
                <w:rFonts w:hint="eastAsia" w:ascii="仿宋" w:hAnsi="仿宋" w:eastAsia="仿宋" w:cs="仿宋"/>
                <w:sz w:val="24"/>
                <w:szCs w:val="24"/>
                <w:lang w:val="en-US" w:eastAsia="zh-CN"/>
              </w:rPr>
              <w:t>响应供应商委派的参与本项目采购活动的</w:t>
            </w:r>
            <w:r>
              <w:rPr>
                <w:rFonts w:hint="eastAsia" w:ascii="仿宋" w:hAnsi="仿宋" w:eastAsia="仿宋" w:cs="仿宋"/>
                <w:sz w:val="24"/>
                <w:szCs w:val="24"/>
              </w:rPr>
              <w:t>代表不是法定代表人/负责人，还应提供《授权委托书》</w:t>
            </w:r>
            <w:r>
              <w:rPr>
                <w:rFonts w:hint="eastAsia" w:ascii="仿宋" w:hAnsi="仿宋" w:eastAsia="仿宋" w:cs="仿宋"/>
                <w:sz w:val="24"/>
                <w:szCs w:val="24"/>
                <w:lang w:val="en-US" w:eastAsia="zh-CN"/>
              </w:rPr>
              <w:t>并加盖公章</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响应报价：</w:t>
            </w:r>
          </w:p>
          <w:p>
            <w:pPr>
              <w:spacing w:line="36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①</w:t>
            </w:r>
            <w:r>
              <w:rPr>
                <w:rFonts w:hint="eastAsia" w:ascii="仿宋" w:hAnsi="仿宋" w:eastAsia="仿宋" w:cs="仿宋"/>
                <w:sz w:val="24"/>
                <w:szCs w:val="24"/>
                <w:lang w:val="en-US" w:eastAsia="zh-CN"/>
              </w:rPr>
              <w:t>响应供应商对本项目的全部需求内容进行响应报价，且</w:t>
            </w:r>
            <w:r>
              <w:rPr>
                <w:rFonts w:hint="eastAsia" w:ascii="仿宋" w:hAnsi="仿宋" w:eastAsia="仿宋" w:cs="仿宋"/>
                <w:sz w:val="24"/>
                <w:szCs w:val="24"/>
                <w:lang w:val="zh-CN" w:eastAsia="zh-CN"/>
              </w:rPr>
              <w:t>响应报价未超过本项目</w:t>
            </w:r>
            <w:r>
              <w:rPr>
                <w:rFonts w:hint="eastAsia" w:ascii="仿宋" w:hAnsi="仿宋" w:eastAsia="仿宋" w:cs="仿宋"/>
                <w:sz w:val="24"/>
                <w:szCs w:val="24"/>
                <w:lang w:val="en-US" w:eastAsia="zh-CN"/>
              </w:rPr>
              <w:t>采购预算（最高限价）人民币265960元</w:t>
            </w:r>
            <w:r>
              <w:rPr>
                <w:rFonts w:hint="eastAsia" w:ascii="仿宋" w:hAnsi="仿宋" w:eastAsia="仿宋" w:cs="仿宋"/>
                <w:sz w:val="24"/>
                <w:szCs w:val="24"/>
                <w:lang w:val="zh-CN" w:eastAsia="zh-CN"/>
              </w:rPr>
              <w:t>。</w:t>
            </w:r>
          </w:p>
          <w:p>
            <w:pPr>
              <w:spacing w:line="36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②响应</w:t>
            </w:r>
            <w:r>
              <w:rPr>
                <w:rFonts w:hint="eastAsia" w:ascii="仿宋" w:hAnsi="仿宋" w:eastAsia="仿宋" w:cs="仿宋"/>
                <w:sz w:val="24"/>
                <w:szCs w:val="24"/>
                <w:lang w:val="en-US" w:eastAsia="zh-CN"/>
              </w:rPr>
              <w:t>报价以人民币为货币单位。响应报价为固定唯一值且不得为 0 或负数</w:t>
            </w:r>
            <w:r>
              <w:rPr>
                <w:rFonts w:hint="eastAsia" w:ascii="仿宋" w:hAnsi="仿宋" w:eastAsia="仿宋" w:cs="仿宋"/>
                <w:sz w:val="24"/>
                <w:szCs w:val="24"/>
                <w:lang w:val="zh-CN" w:eastAsia="zh-CN"/>
              </w:rPr>
              <w:t>。</w:t>
            </w:r>
          </w:p>
          <w:p>
            <w:pPr>
              <w:spacing w:line="360" w:lineRule="auto"/>
              <w:jc w:val="left"/>
              <w:rPr>
                <w:rFonts w:hint="eastAsia"/>
              </w:rPr>
            </w:pPr>
            <w:r>
              <w:rPr>
                <w:rFonts w:hint="eastAsia" w:ascii="仿宋" w:hAnsi="仿宋" w:eastAsia="仿宋" w:cs="仿宋"/>
                <w:sz w:val="24"/>
                <w:szCs w:val="24"/>
                <w:lang w:val="zh-CN" w:eastAsia="zh-CN"/>
              </w:rPr>
              <w:t>③响应报价不存在明显低于其他通过符合性审查响应</w:t>
            </w:r>
            <w:r>
              <w:rPr>
                <w:rFonts w:hint="eastAsia" w:ascii="仿宋" w:hAnsi="仿宋" w:eastAsia="仿宋" w:cs="仿宋"/>
                <w:sz w:val="24"/>
                <w:szCs w:val="24"/>
                <w:lang w:val="en-US" w:eastAsia="zh-CN"/>
              </w:rPr>
              <w:t>供应商的</w:t>
            </w:r>
            <w:r>
              <w:rPr>
                <w:rFonts w:hint="eastAsia" w:ascii="仿宋" w:hAnsi="仿宋" w:eastAsia="仿宋" w:cs="仿宋"/>
                <w:sz w:val="24"/>
                <w:szCs w:val="24"/>
                <w:lang w:val="zh-CN" w:eastAsia="zh-CN"/>
              </w:rPr>
              <w:t>报价，或者评审委员会认为</w:t>
            </w:r>
            <w:r>
              <w:rPr>
                <w:rFonts w:hint="eastAsia" w:ascii="仿宋" w:hAnsi="仿宋" w:eastAsia="仿宋" w:cs="仿宋"/>
                <w:sz w:val="24"/>
                <w:szCs w:val="24"/>
                <w:lang w:val="en-US" w:eastAsia="zh-CN"/>
              </w:rPr>
              <w:t>响应供应商</w:t>
            </w:r>
            <w:r>
              <w:rPr>
                <w:rFonts w:hint="eastAsia" w:ascii="仿宋" w:hAnsi="仿宋" w:eastAsia="仿宋" w:cs="仿宋"/>
                <w:sz w:val="24"/>
                <w:szCs w:val="24"/>
                <w:lang w:val="zh-CN" w:eastAsia="zh-CN"/>
              </w:rPr>
              <w:t>的报价明显低于其他通过符合性审查</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的报价</w:t>
            </w:r>
            <w:r>
              <w:rPr>
                <w:rFonts w:hint="eastAsia" w:ascii="仿宋" w:hAnsi="仿宋" w:eastAsia="仿宋" w:cs="仿宋"/>
                <w:sz w:val="24"/>
                <w:szCs w:val="24"/>
                <w:lang w:val="en-US" w:eastAsia="zh-CN"/>
              </w:rPr>
              <w:t>但响应供应商</w:t>
            </w:r>
            <w:r>
              <w:rPr>
                <w:rFonts w:hint="eastAsia" w:ascii="仿宋" w:hAnsi="仿宋" w:eastAsia="仿宋" w:cs="仿宋"/>
                <w:sz w:val="24"/>
                <w:szCs w:val="24"/>
                <w:lang w:val="zh-CN" w:eastAsia="zh-CN"/>
              </w:rPr>
              <w:t>能够提供</w:t>
            </w:r>
            <w:r>
              <w:rPr>
                <w:rFonts w:hint="eastAsia" w:ascii="仿宋" w:hAnsi="仿宋" w:eastAsia="仿宋" w:cs="仿宋"/>
                <w:sz w:val="24"/>
                <w:szCs w:val="24"/>
                <w:lang w:val="en-US" w:eastAsia="zh-CN"/>
              </w:rPr>
              <w:t>关于其报价不影响</w:t>
            </w:r>
            <w:r>
              <w:rPr>
                <w:rFonts w:hint="eastAsia" w:ascii="仿宋" w:hAnsi="仿宋" w:eastAsia="仿宋" w:cs="仿宋"/>
                <w:sz w:val="24"/>
                <w:szCs w:val="24"/>
                <w:lang w:val="zh-CN" w:eastAsia="zh-CN"/>
              </w:rPr>
              <w:t>其诚信履约</w:t>
            </w:r>
            <w:r>
              <w:rPr>
                <w:rFonts w:hint="eastAsia" w:ascii="仿宋" w:hAnsi="仿宋" w:eastAsia="仿宋" w:cs="仿宋"/>
                <w:sz w:val="24"/>
                <w:szCs w:val="24"/>
                <w:lang w:val="en-US" w:eastAsia="zh-CN"/>
              </w:rPr>
              <w:t>以及</w:t>
            </w:r>
            <w:r>
              <w:rPr>
                <w:rFonts w:hint="eastAsia" w:ascii="仿宋" w:hAnsi="仿宋" w:eastAsia="仿宋" w:cs="仿宋"/>
                <w:sz w:val="24"/>
                <w:szCs w:val="24"/>
                <w:lang w:val="zh-CN" w:eastAsia="zh-CN"/>
              </w:rPr>
              <w:t>不影响</w:t>
            </w:r>
            <w:r>
              <w:rPr>
                <w:rFonts w:hint="eastAsia" w:ascii="仿宋" w:hAnsi="仿宋" w:eastAsia="仿宋" w:cs="仿宋"/>
                <w:sz w:val="24"/>
                <w:szCs w:val="24"/>
                <w:lang w:val="en-US" w:eastAsia="zh-CN"/>
              </w:rPr>
              <w:t>履约</w:t>
            </w:r>
            <w:r>
              <w:rPr>
                <w:rFonts w:hint="eastAsia" w:ascii="仿宋" w:hAnsi="仿宋" w:eastAsia="仿宋" w:cs="仿宋"/>
                <w:sz w:val="24"/>
                <w:szCs w:val="24"/>
                <w:lang w:val="zh-CN" w:eastAsia="zh-CN"/>
              </w:rPr>
              <w:t>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eastAsia="zh-CN"/>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r>
              <w:rPr>
                <w:rFonts w:hint="eastAsia" w:ascii="仿宋" w:hAnsi="仿宋" w:eastAsia="仿宋" w:cs="仿宋"/>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spacing w:line="36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响应供应商对</w:t>
            </w:r>
            <w:r>
              <w:rPr>
                <w:rFonts w:hint="default" w:ascii="仿宋" w:hAnsi="仿宋" w:eastAsia="仿宋" w:cs="仿宋"/>
                <w:sz w:val="24"/>
                <w:szCs w:val="24"/>
                <w:lang w:val="en-US" w:eastAsia="zh-CN"/>
              </w:rPr>
              <w:t>“★”号条款</w:t>
            </w:r>
            <w:r>
              <w:rPr>
                <w:rFonts w:hint="eastAsia" w:ascii="仿宋" w:hAnsi="仿宋" w:eastAsia="仿宋" w:cs="仿宋"/>
                <w:sz w:val="24"/>
                <w:szCs w:val="24"/>
                <w:lang w:val="en-US" w:eastAsia="zh-CN"/>
              </w:rPr>
              <w:t>的全部要求进行响应且响应内容</w:t>
            </w:r>
            <w:r>
              <w:rPr>
                <w:rFonts w:hint="default" w:ascii="仿宋" w:hAnsi="仿宋" w:eastAsia="仿宋" w:cs="仿宋"/>
                <w:sz w:val="24"/>
                <w:szCs w:val="24"/>
                <w:lang w:val="en-US" w:eastAsia="zh-CN"/>
              </w:rPr>
              <w:t>符合</w:t>
            </w:r>
            <w:r>
              <w:rPr>
                <w:rFonts w:hint="eastAsia" w:ascii="仿宋" w:hAnsi="仿宋" w:eastAsia="仿宋" w:cs="仿宋"/>
                <w:sz w:val="24"/>
                <w:szCs w:val="24"/>
                <w:lang w:val="en-US" w:eastAsia="zh-CN"/>
              </w:rPr>
              <w:t>要求</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响应供应商</w:t>
            </w:r>
            <w:r>
              <w:rPr>
                <w:rFonts w:hint="default" w:ascii="仿宋" w:hAnsi="仿宋" w:eastAsia="仿宋" w:cs="仿宋"/>
                <w:sz w:val="24"/>
                <w:szCs w:val="24"/>
                <w:lang w:val="en-US" w:eastAsia="zh-CN"/>
              </w:rPr>
              <w:t>必须</w:t>
            </w:r>
            <w:r>
              <w:rPr>
                <w:rFonts w:hint="eastAsia" w:ascii="仿宋" w:hAnsi="仿宋" w:eastAsia="仿宋" w:cs="仿宋"/>
                <w:sz w:val="24"/>
                <w:szCs w:val="24"/>
                <w:lang w:val="en-US" w:eastAsia="zh-CN"/>
              </w:rPr>
              <w:t>如实提供承诺函及必要的证明文件</w:t>
            </w:r>
            <w:r>
              <w:rPr>
                <w:rFonts w:hint="default" w:ascii="仿宋" w:hAnsi="仿宋" w:eastAsia="仿宋" w:cs="仿宋"/>
                <w:sz w:val="24"/>
                <w:szCs w:val="24"/>
                <w:lang w:val="en-US" w:eastAsia="zh-CN"/>
              </w:rPr>
              <w:t>，如</w:t>
            </w:r>
            <w:r>
              <w:rPr>
                <w:rFonts w:hint="eastAsia" w:ascii="仿宋" w:hAnsi="仿宋" w:eastAsia="仿宋" w:cs="仿宋"/>
                <w:sz w:val="24"/>
                <w:szCs w:val="24"/>
                <w:lang w:val="en-US" w:eastAsia="zh-CN"/>
              </w:rPr>
              <w:t>确有特殊情况</w:t>
            </w:r>
            <w:r>
              <w:rPr>
                <w:rFonts w:hint="default" w:ascii="仿宋" w:hAnsi="仿宋" w:eastAsia="仿宋" w:cs="仿宋"/>
                <w:sz w:val="24"/>
                <w:szCs w:val="24"/>
                <w:lang w:val="en-US" w:eastAsia="zh-CN"/>
              </w:rPr>
              <w:t>不能</w:t>
            </w:r>
            <w:r>
              <w:rPr>
                <w:rFonts w:hint="eastAsia" w:ascii="仿宋" w:hAnsi="仿宋" w:eastAsia="仿宋" w:cs="仿宋"/>
                <w:sz w:val="24"/>
                <w:szCs w:val="24"/>
                <w:lang w:val="en-US" w:eastAsia="zh-CN"/>
              </w:rPr>
              <w:t>对</w:t>
            </w:r>
            <w:r>
              <w:rPr>
                <w:rFonts w:hint="default" w:ascii="仿宋" w:hAnsi="仿宋" w:eastAsia="仿宋" w:cs="仿宋"/>
                <w:sz w:val="24"/>
                <w:szCs w:val="24"/>
                <w:lang w:val="en-US" w:eastAsia="zh-CN"/>
              </w:rPr>
              <w:t>“★”号条款</w:t>
            </w:r>
            <w:r>
              <w:rPr>
                <w:rFonts w:hint="eastAsia" w:ascii="仿宋" w:hAnsi="仿宋" w:eastAsia="仿宋" w:cs="仿宋"/>
                <w:sz w:val="24"/>
                <w:szCs w:val="24"/>
                <w:lang w:val="en-US" w:eastAsia="zh-CN"/>
              </w:rPr>
              <w:t>的全部或部分内容提供承诺函及相关证明文件，需在响应文件中附上书面</w:t>
            </w:r>
            <w:r>
              <w:rPr>
                <w:rFonts w:hint="default" w:ascii="仿宋" w:hAnsi="仿宋" w:eastAsia="仿宋" w:cs="仿宋"/>
                <w:sz w:val="24"/>
                <w:szCs w:val="24"/>
                <w:lang w:val="en-US" w:eastAsia="zh-CN"/>
              </w:rPr>
              <w:t>说明</w:t>
            </w:r>
            <w:r>
              <w:rPr>
                <w:rFonts w:hint="eastAsia" w:ascii="仿宋" w:hAnsi="仿宋" w:eastAsia="仿宋" w:cs="仿宋"/>
                <w:sz w:val="24"/>
                <w:szCs w:val="24"/>
                <w:lang w:val="en-US" w:eastAsia="zh-CN"/>
              </w:rPr>
              <w:t>，由评审小组判定是否符合</w:t>
            </w:r>
            <w:r>
              <w:rPr>
                <w:rFonts w:hint="default" w:ascii="仿宋" w:hAnsi="仿宋" w:eastAsia="仿宋" w:cs="仿宋"/>
                <w:sz w:val="24"/>
                <w:szCs w:val="24"/>
                <w:lang w:val="en-US" w:eastAsia="zh-CN"/>
              </w:rPr>
              <w:t>“★”号条款</w:t>
            </w:r>
            <w:r>
              <w:rPr>
                <w:rFonts w:hint="eastAsia" w:ascii="仿宋" w:hAnsi="仿宋" w:eastAsia="仿宋" w:cs="仿宋"/>
                <w:sz w:val="24"/>
                <w:szCs w:val="24"/>
                <w:lang w:val="en-US" w:eastAsia="zh-CN"/>
              </w:rPr>
              <w:t>的要求</w:t>
            </w:r>
            <w:r>
              <w:rPr>
                <w:rFonts w:hint="default" w:ascii="仿宋" w:hAnsi="仿宋" w:eastAsia="仿宋" w:cs="仿宋"/>
                <w:sz w:val="24"/>
                <w:szCs w:val="24"/>
                <w:lang w:val="en-US"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7、分值（权重）分配</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6"/>
        <w:tblW w:w="958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16"/>
        <w:gridCol w:w="1917"/>
        <w:gridCol w:w="1917"/>
        <w:gridCol w:w="1917"/>
        <w:gridCol w:w="19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技术评分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商务评分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价格评分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总分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分值（分）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52分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28分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100分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权重（%）</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52%</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28%</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100%</w:t>
            </w:r>
          </w:p>
        </w:tc>
      </w:tr>
    </w:tbl>
    <w:p>
      <w:pPr>
        <w:keepNext w:val="0"/>
        <w:keepLines w:val="0"/>
        <w:pageBreakBefore w:val="0"/>
        <w:widowControl w:val="0"/>
        <w:numPr>
          <w:ilvl w:val="0"/>
          <w:numId w:val="7"/>
        </w:numPr>
        <w:suppressLineNumbers w:val="0"/>
        <w:kinsoku/>
        <w:wordWrap/>
        <w:overflowPunct/>
        <w:topLinePunct w:val="0"/>
        <w:autoSpaceDE w:val="0"/>
        <w:autoSpaceDN/>
        <w:bidi w:val="0"/>
        <w:adjustRightInd w:val="0"/>
        <w:snapToGrid w:val="0"/>
        <w:spacing w:before="0" w:beforeAutospacing="0" w:after="0" w:afterAutospacing="0" w:line="40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技术评分（52分）：评审小组对各响应供应商的技术要求响应情况进行评分，评审的具体内容见《技术评审表》。</w:t>
      </w:r>
    </w:p>
    <w:p>
      <w:pPr>
        <w:pStyle w:val="1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sz w:val="24"/>
          <w:szCs w:val="24"/>
          <w:lang w:val="en-US" w:eastAsia="zh-CN"/>
        </w:rPr>
        <w:t>技术评审表</w:t>
      </w:r>
    </w:p>
    <w:tbl>
      <w:tblPr>
        <w:tblStyle w:val="27"/>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1" w:type="dxa"/>
            <w:vAlign w:val="center"/>
          </w:tcPr>
          <w:p>
            <w:pPr>
              <w:pStyle w:val="1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267" w:type="dxa"/>
            <w:vAlign w:val="center"/>
          </w:tcPr>
          <w:p>
            <w:pPr>
              <w:pStyle w:val="1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vAlign w:val="center"/>
          </w:tcPr>
          <w:p>
            <w:pPr>
              <w:pStyle w:val="1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ind w:left="0" w:leftChars="0" w:firstLine="0"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团队</w:t>
            </w:r>
            <w:r>
              <w:rPr>
                <w:rFonts w:hint="eastAsia" w:ascii="仿宋" w:hAnsi="仿宋" w:eastAsia="仿宋" w:cs="仿宋"/>
                <w:color w:val="auto"/>
                <w:sz w:val="24"/>
                <w:szCs w:val="24"/>
                <w:highlight w:val="none"/>
                <w:lang w:val="en-US" w:eastAsia="zh-CN"/>
              </w:rPr>
              <w:t>人员配备及经验</w:t>
            </w:r>
          </w:p>
        </w:tc>
        <w:tc>
          <w:tcPr>
            <w:tcW w:w="1267" w:type="dxa"/>
            <w:vAlign w:val="center"/>
          </w:tcPr>
          <w:p>
            <w:pPr>
              <w:pStyle w:val="10"/>
              <w:numPr>
                <w:ilvl w:val="0"/>
                <w:numId w:val="0"/>
              </w:numPr>
              <w:ind w:left="0" w:leftChars="0" w:firstLine="0" w:firstLine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w:t>
            </w:r>
          </w:p>
        </w:tc>
        <w:tc>
          <w:tcPr>
            <w:tcW w:w="5517" w:type="dxa"/>
            <w:vAlign w:val="center"/>
          </w:tcPr>
          <w:p>
            <w:pPr>
              <w:widowControl/>
              <w:numPr>
                <w:ilvl w:val="-1"/>
                <w:numId w:val="0"/>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根据响应供应商拟为本项目组建的服务团队力量进行评审（服务团队需包括1名项目经理和至少2名项目成员）：</w:t>
            </w:r>
          </w:p>
          <w:p>
            <w:pPr>
              <w:widowControl/>
              <w:numPr>
                <w:ilvl w:val="0"/>
                <w:numId w:val="8"/>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拟任本项目的项目经理完成过同类医气正负压机组维保服务业绩的，每一个业绩得2分，最高4分。</w:t>
            </w:r>
          </w:p>
          <w:p>
            <w:pPr>
              <w:widowControl/>
              <w:numPr>
                <w:ilvl w:val="0"/>
                <w:numId w:val="8"/>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拟派驻的项目成员</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420" w:leftChars="200" w:firstLine="60" w:firstLineChars="25"/>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w:t>
            </w:r>
            <w:r>
              <w:rPr>
                <w:rFonts w:hint="eastAsia" w:ascii="仿宋" w:hAnsi="仿宋" w:eastAsia="仿宋" w:cs="仿宋"/>
                <w:color w:val="000000"/>
                <w:kern w:val="0"/>
                <w:sz w:val="24"/>
                <w:szCs w:val="24"/>
                <w:lang w:val="zh-CN" w:eastAsia="zh-CN" w:bidi="ar"/>
              </w:rPr>
              <w:t>备</w:t>
            </w:r>
            <w:r>
              <w:rPr>
                <w:rFonts w:hint="eastAsia" w:ascii="仿宋" w:hAnsi="仿宋" w:eastAsia="仿宋" w:cs="仿宋"/>
                <w:color w:val="000000"/>
                <w:kern w:val="0"/>
                <w:sz w:val="24"/>
                <w:szCs w:val="24"/>
                <w:lang w:val="en-US" w:eastAsia="zh-CN" w:bidi="ar"/>
              </w:rPr>
              <w:t>快开门式压力容器操作证（R1），每提供一个得2分，最高得4分；</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420" w:leftChars="200" w:firstLine="60" w:firstLineChars="25"/>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具有电工证，每提供一个得2分，最高得4分；</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420" w:leftChars="200" w:firstLine="60" w:firstLineChars="25"/>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具有焊工证，每提供一个得2分，最高得4分。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响应供应商需提供：</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425" w:leftChars="0" w:hanging="42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拟为本项目组建的团队人员清单（加盖公章）；</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425" w:leftChars="0" w:hanging="425"/>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lang w:eastAsia="zh-CN"/>
              </w:rPr>
              <w:t>资质</w:t>
            </w:r>
            <w:r>
              <w:rPr>
                <w:rFonts w:hint="eastAsia" w:ascii="仿宋" w:hAnsi="仿宋" w:eastAsia="仿宋" w:cs="仿宋"/>
                <w:color w:val="auto"/>
                <w:sz w:val="24"/>
                <w:szCs w:val="24"/>
                <w:highlight w:val="none"/>
                <w:lang w:val="en-US" w:eastAsia="zh-CN"/>
              </w:rPr>
              <w:t>证书及同类业绩合同等经验</w:t>
            </w:r>
            <w:r>
              <w:rPr>
                <w:rFonts w:hint="eastAsia" w:ascii="仿宋" w:hAnsi="仿宋" w:eastAsia="仿宋" w:cs="仿宋"/>
                <w:color w:val="auto"/>
                <w:sz w:val="24"/>
                <w:szCs w:val="24"/>
                <w:highlight w:val="none"/>
                <w:lang w:eastAsia="zh-CN"/>
              </w:rPr>
              <w:t>证明文件</w:t>
            </w:r>
            <w:r>
              <w:rPr>
                <w:rFonts w:hint="eastAsia" w:ascii="仿宋" w:hAnsi="仿宋" w:eastAsia="仿宋" w:cs="仿宋"/>
                <w:color w:val="auto"/>
                <w:sz w:val="24"/>
                <w:szCs w:val="24"/>
                <w:highlight w:val="none"/>
                <w:lang w:val="en-US" w:eastAsia="zh-CN"/>
              </w:rPr>
              <w:t>复印件（加盖公章）</w:t>
            </w:r>
            <w:r>
              <w:rPr>
                <w:rFonts w:hint="eastAsia" w:ascii="仿宋" w:hAnsi="仿宋" w:eastAsia="仿宋" w:cs="仿宋"/>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合同复印件必须包含能够体现合同签订双方主体信息、项目概况等能体现属于同类业绩的合同内容以及双方签署页面等关键页。</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提供与同一客户签订的多份合同以及同一客户的多份评价的，不重复计分，只计一次分。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361" w:type="dxa"/>
            <w:vAlign w:val="center"/>
          </w:tcPr>
          <w:p>
            <w:pPr>
              <w:pStyle w:val="10"/>
              <w:numPr>
                <w:ilvl w:val="0"/>
                <w:numId w:val="0"/>
              </w:numPr>
              <w:ind w:left="0" w:leftChars="0" w:firstLine="0" w:firstLineChars="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服务响应速度</w:t>
            </w:r>
          </w:p>
        </w:tc>
        <w:tc>
          <w:tcPr>
            <w:tcW w:w="1267" w:type="dxa"/>
            <w:vAlign w:val="center"/>
          </w:tcPr>
          <w:p>
            <w:pPr>
              <w:pStyle w:val="10"/>
              <w:numPr>
                <w:ilvl w:val="0"/>
                <w:numId w:val="0"/>
              </w:numPr>
              <w:ind w:left="0" w:leftChars="0" w:firstLine="0" w:firstLineChars="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5517" w:type="dxa"/>
            <w:vAlign w:val="center"/>
          </w:tcPr>
          <w:p>
            <w:pPr>
              <w:pStyle w:val="11"/>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根据供应商承诺的服务响应速度进行评审：</w:t>
            </w:r>
          </w:p>
          <w:p>
            <w:pPr>
              <w:pStyle w:val="11"/>
              <w:numPr>
                <w:ilvl w:val="0"/>
                <w:numId w:val="11"/>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承诺在采购人提出服务要求后一个日历日内（不含提出服务要求当天）到场提供服务的，得8分；</w:t>
            </w:r>
          </w:p>
          <w:p>
            <w:pPr>
              <w:pStyle w:val="11"/>
              <w:numPr>
                <w:ilvl w:val="0"/>
                <w:numId w:val="11"/>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承诺在采购人提出服务要求后两个日历日内（不含提出服务要求当天）到场提供服务的，得5分；</w:t>
            </w:r>
          </w:p>
          <w:p>
            <w:pPr>
              <w:pStyle w:val="11"/>
              <w:numPr>
                <w:ilvl w:val="0"/>
                <w:numId w:val="11"/>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承诺在采购人提出服务要求后三个日历日内（不含提出服务要求当天）到场提供服务的，得2分；</w:t>
            </w:r>
          </w:p>
          <w:p>
            <w:pPr>
              <w:pStyle w:val="11"/>
              <w:numPr>
                <w:ilvl w:val="0"/>
                <w:numId w:val="11"/>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不提供承诺或其他情况不得分。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2361" w:type="dxa"/>
            <w:vAlign w:val="center"/>
          </w:tcPr>
          <w:p>
            <w:pPr>
              <w:pStyle w:val="11"/>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w:t>
            </w: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pStyle w:val="10"/>
              <w:numPr>
                <w:ilvl w:val="0"/>
                <w:numId w:val="0"/>
              </w:numPr>
              <w:jc w:val="center"/>
              <w:rPr>
                <w:rFonts w:hint="eastAsia" w:ascii="仿宋" w:hAnsi="仿宋" w:eastAsia="仿宋" w:cs="仿宋"/>
                <w:color w:val="000000"/>
                <w:kern w:val="0"/>
                <w:sz w:val="24"/>
                <w:szCs w:val="24"/>
                <w:lang w:val="en-US" w:eastAsia="zh-CN" w:bidi="ar"/>
              </w:rPr>
            </w:pPr>
          </w:p>
        </w:tc>
        <w:tc>
          <w:tcPr>
            <w:tcW w:w="1267" w:type="dxa"/>
            <w:vAlign w:val="center"/>
          </w:tcPr>
          <w:p>
            <w:pPr>
              <w:pStyle w:val="10"/>
              <w:numPr>
                <w:ilvl w:val="0"/>
                <w:numId w:val="0"/>
              </w:numPr>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5517" w:type="dxa"/>
            <w:vAlign w:val="center"/>
          </w:tcPr>
          <w:p>
            <w:pPr>
              <w:widowControl/>
              <w:numPr>
                <w:ilvl w:val="-1"/>
                <w:numId w:val="0"/>
              </w:numPr>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根据供应商的项目维保服务方案进行综合评审：</w:t>
            </w:r>
          </w:p>
          <w:p>
            <w:pPr>
              <w:pStyle w:val="11"/>
              <w:numPr>
                <w:ilvl w:val="0"/>
                <w:numId w:val="12"/>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维保服务方案详细、具体，可行性高、针对性强，得8分；</w:t>
            </w:r>
          </w:p>
          <w:p>
            <w:pPr>
              <w:pStyle w:val="11"/>
              <w:numPr>
                <w:ilvl w:val="0"/>
                <w:numId w:val="12"/>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维保服务方案比较详细、具体，可行性较高，针对性较强，得5分；</w:t>
            </w:r>
          </w:p>
          <w:p>
            <w:pPr>
              <w:pStyle w:val="11"/>
              <w:numPr>
                <w:ilvl w:val="0"/>
                <w:numId w:val="12"/>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维保服务方案比较简单，可行性一般，针对性一般，得2分；</w:t>
            </w:r>
          </w:p>
          <w:p>
            <w:pPr>
              <w:pStyle w:val="11"/>
              <w:numPr>
                <w:ilvl w:val="0"/>
                <w:numId w:val="12"/>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维保服务方案简单、可行性差、针对性弱，或者未提供维保服务方案，不得分。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2361" w:type="dxa"/>
            <w:vAlign w:val="center"/>
          </w:tcPr>
          <w:p>
            <w:pPr>
              <w:pStyle w:val="10"/>
              <w:numPr>
                <w:ilvl w:val="0"/>
                <w:numId w:val="0"/>
              </w:num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应急预案</w:t>
            </w:r>
          </w:p>
        </w:tc>
        <w:tc>
          <w:tcPr>
            <w:tcW w:w="1267" w:type="dxa"/>
            <w:vAlign w:val="center"/>
          </w:tcPr>
          <w:p>
            <w:pPr>
              <w:pStyle w:val="10"/>
              <w:numPr>
                <w:ilvl w:val="0"/>
                <w:numId w:val="0"/>
              </w:num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5517" w:type="dxa"/>
            <w:vAlign w:val="center"/>
          </w:tcPr>
          <w:p>
            <w:pPr>
              <w:widowControl/>
              <w:numPr>
                <w:ilvl w:val="-1"/>
                <w:numId w:val="0"/>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根据供应商的项目应急预案进行综合评审：</w:t>
            </w:r>
          </w:p>
          <w:p>
            <w:pPr>
              <w:widowControl/>
              <w:numPr>
                <w:ilvl w:val="0"/>
                <w:numId w:val="13"/>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有完善的应急措施，应急方案针对临时性、突击性工作反映迅速，调配合理、安全，且有充分的资源作为应急支撑，得8分；</w:t>
            </w:r>
          </w:p>
          <w:p>
            <w:pPr>
              <w:widowControl/>
              <w:numPr>
                <w:ilvl w:val="0"/>
                <w:numId w:val="13"/>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有较好的应急措施，应急方案针对临时性、突击性工作反应较迅速，调配较合理、安全，且有较充分的资源作为应急支撑，得5分；</w:t>
            </w:r>
          </w:p>
          <w:p>
            <w:pPr>
              <w:widowControl/>
              <w:numPr>
                <w:ilvl w:val="0"/>
                <w:numId w:val="13"/>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有应急措施，但应急方案针对临时性、突击性工作反应慢，调配不够完善、安全，且不够充分的资源作为应急支撑，得2分；</w:t>
            </w:r>
          </w:p>
          <w:p>
            <w:pPr>
              <w:widowControl/>
              <w:numPr>
                <w:ilvl w:val="0"/>
                <w:numId w:val="13"/>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有应急措施但内容简单没有针对性、没有资源作为应急支撑，或者未提供应急预案，不得分。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质量保证措施</w:t>
            </w:r>
          </w:p>
          <w:p>
            <w:pPr>
              <w:pStyle w:val="10"/>
              <w:numPr>
                <w:ilvl w:val="0"/>
                <w:numId w:val="0"/>
              </w:numPr>
              <w:jc w:val="center"/>
              <w:rPr>
                <w:rFonts w:hint="eastAsia" w:ascii="仿宋" w:hAnsi="仿宋" w:eastAsia="仿宋" w:cs="仿宋"/>
                <w:color w:val="000000"/>
                <w:kern w:val="0"/>
                <w:sz w:val="24"/>
                <w:szCs w:val="24"/>
                <w:lang w:val="en-US" w:eastAsia="zh-CN" w:bidi="ar"/>
              </w:rPr>
            </w:pPr>
          </w:p>
        </w:tc>
        <w:tc>
          <w:tcPr>
            <w:tcW w:w="1267" w:type="dxa"/>
            <w:vAlign w:val="center"/>
          </w:tcPr>
          <w:p>
            <w:pPr>
              <w:pStyle w:val="10"/>
              <w:numPr>
                <w:ilvl w:val="0"/>
                <w:numId w:val="0"/>
              </w:numPr>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5517"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根据供应商的项目质量保证措施进行综合评审：</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针对项目实际情况，有先进、具体、完整、可行的措施，采用规范准确、清晰，得6分；</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针对项目实际情况，有比较先进、具体、完整、可行的措施，采用规范比较准确、清晰，得4分；</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有基本合理的措施，采用规范基本准确，得2分；</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质量保证措施不合理、采用规范不准确或者未提供质量保证措施，不得分。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w:t>
            </w:r>
          </w:p>
        </w:tc>
        <w:tc>
          <w:tcPr>
            <w:tcW w:w="1267" w:type="dxa"/>
            <w:vAlign w:val="center"/>
          </w:tcPr>
          <w:p>
            <w:pPr>
              <w:pStyle w:val="10"/>
              <w:numPr>
                <w:ilvl w:val="0"/>
                <w:numId w:val="0"/>
              </w:numPr>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5517"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根据供应商的项目安全生产措施进行综合评审：</w:t>
            </w:r>
          </w:p>
          <w:p>
            <w:pPr>
              <w:pStyle w:val="11"/>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有明确的安全生产措施、各项措施先进、详细、具体，可行且有重点，得6分；</w:t>
            </w:r>
          </w:p>
          <w:p>
            <w:pPr>
              <w:pStyle w:val="11"/>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有较明确的安全生产措施、各项措施较先进、较详细、较具体，有重点但不够具体，得4分；</w:t>
            </w:r>
          </w:p>
          <w:p>
            <w:pPr>
              <w:pStyle w:val="11"/>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安全生产措施基本明确、各项措施比较简单，有一定的重点，得2分；</w:t>
            </w:r>
          </w:p>
          <w:p>
            <w:pPr>
              <w:pStyle w:val="11"/>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5" w:leftChars="0" w:hanging="425" w:firstLine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安全生产措施不明确、各项措施简单，基本无重点或者未提供安全生产措施，不得分。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400" w:lineRule="exact"/>
        <w:ind w:right="0" w:rightChars="0" w:firstLine="480" w:firstLineChars="200"/>
        <w:jc w:val="both"/>
        <w:rPr>
          <w:rFonts w:hint="eastAsia"/>
          <w:lang w:val="en-US" w:eastAsia="zh-CN"/>
        </w:rPr>
      </w:pPr>
      <w:r>
        <w:rPr>
          <w:rFonts w:hint="eastAsia" w:ascii="仿宋" w:hAnsi="仿宋" w:eastAsia="仿宋" w:cs="仿宋"/>
          <w:color w:val="000000"/>
          <w:kern w:val="2"/>
          <w:sz w:val="24"/>
          <w:szCs w:val="24"/>
          <w:highlight w:val="none"/>
          <w:lang w:val="en-US" w:eastAsia="zh-CN"/>
        </w:rPr>
        <w:t>（3）商务评分（28分）：评审小组对各响应供应商的商务要求响应情况进行评分，评审的具体内容见《商务评审表》。</w:t>
      </w:r>
    </w:p>
    <w:p>
      <w:pPr>
        <w:adjustRightInd w:val="0"/>
        <w:snapToGrid w:val="0"/>
        <w:spacing w:line="360" w:lineRule="exact"/>
        <w:jc w:val="center"/>
        <w:rPr>
          <w:rFonts w:ascii="仿宋" w:hAnsi="仿宋" w:eastAsia="仿宋" w:cs="仿宋"/>
          <w:b/>
          <w:kern w:val="1"/>
          <w:sz w:val="24"/>
        </w:rPr>
      </w:pPr>
      <w:r>
        <w:rPr>
          <w:rFonts w:hint="eastAsia" w:ascii="仿宋" w:hAnsi="仿宋" w:eastAsia="仿宋" w:cs="仿宋"/>
          <w:b/>
          <w:kern w:val="1"/>
          <w:sz w:val="24"/>
        </w:rPr>
        <w:t>商务评审表</w:t>
      </w:r>
    </w:p>
    <w:tbl>
      <w:tblPr>
        <w:tblStyle w:val="27"/>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234" w:type="dxa"/>
          </w:tcPr>
          <w:p>
            <w:pPr>
              <w:pStyle w:val="9"/>
              <w:ind w:left="0" w:leftChars="0" w:firstLine="241" w:firstLineChars="10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pPr>
              <w:pStyle w:val="9"/>
              <w:ind w:left="0" w:leftChars="0" w:firstLine="241" w:firstLineChars="10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pPr>
              <w:pStyle w:val="9"/>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vAlign w:val="center"/>
          </w:tcPr>
          <w:p>
            <w:pPr>
              <w:pStyle w:val="9"/>
              <w:ind w:left="0" w:leftChars="0" w:firstLine="0" w:firstLineChars="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同类业绩</w:t>
            </w:r>
          </w:p>
        </w:tc>
        <w:tc>
          <w:tcPr>
            <w:tcW w:w="1293" w:type="dxa"/>
            <w:vAlign w:val="center"/>
          </w:tcPr>
          <w:p>
            <w:pPr>
              <w:pStyle w:val="9"/>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5517" w:type="dxa"/>
          </w:tcPr>
          <w:p>
            <w:pPr>
              <w:pStyle w:val="11"/>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2021年1月1日至今（以合同签订时间为准）完成同类业绩情况（医气正负压机组维保服务），每提交1份项目业绩材料得2.5分，最高得10分。</w:t>
            </w:r>
          </w:p>
          <w:p>
            <w:pP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注：</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响应供应商应提供体现项目业绩的合同复印件并加盖公章。合同复印件必须包含能够体现合同签订双方主体信息、项目概况等能体现属于同类业绩的合同内容以及双方签署页面等关键页。</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不提供资料或者所提供资料未能体现属于同类业绩的，得0分。</w:t>
            </w:r>
          </w:p>
          <w:p>
            <w:pPr>
              <w:rPr>
                <w:rFonts w:hint="eastAsia"/>
                <w:highlight w:val="none"/>
                <w:lang w:eastAsia="zh-CN"/>
              </w:rPr>
            </w:pPr>
            <w:r>
              <w:rPr>
                <w:rFonts w:hint="eastAsia" w:ascii="仿宋" w:hAnsi="仿宋" w:eastAsia="仿宋" w:cs="仿宋"/>
                <w:color w:val="auto"/>
                <w:sz w:val="24"/>
                <w:szCs w:val="24"/>
                <w:highlight w:val="none"/>
                <w:lang w:val="en-US" w:eastAsia="zh-CN"/>
              </w:rPr>
              <w:t>提供与同一客户签订的多份合同，不重复计分，只计一次分。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vAlign w:val="center"/>
          </w:tcPr>
          <w:p>
            <w:pPr>
              <w:pStyle w:val="9"/>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用户评价</w:t>
            </w:r>
          </w:p>
        </w:tc>
        <w:tc>
          <w:tcPr>
            <w:tcW w:w="1293" w:type="dxa"/>
            <w:vAlign w:val="center"/>
          </w:tcPr>
          <w:p>
            <w:pPr>
              <w:pStyle w:val="9"/>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8</w:t>
            </w:r>
          </w:p>
        </w:tc>
        <w:tc>
          <w:tcPr>
            <w:tcW w:w="5517" w:type="dxa"/>
          </w:tcPr>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同类业绩获得客户评价为优或满意的或评委认可的类似好评的用户评价的，每项加2分，最高得8分。</w:t>
            </w:r>
          </w:p>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响应供应商应提供与所提供的同类业绩对应的用户单位服务评价证明材料复印件，并加盖响应供应商公章。</w:t>
            </w:r>
          </w:p>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项目业绩对应的用户单位服务评价证明材料，需经响应供应商的用户单位盖章确认，可以为满意程度调查表、优秀服务荣誉证书、客户优秀服务评定材料等形式。</w:t>
            </w:r>
          </w:p>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不提供资料、所提供资料未能体现属于同类业绩且获得用户好评的，得0分。</w:t>
            </w:r>
          </w:p>
          <w:p>
            <w:pPr>
              <w:pStyle w:val="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响应供应商提供同一客户的多份评价的，不重复计分，只计一次分。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234" w:type="dxa"/>
            <w:vAlign w:val="center"/>
          </w:tcPr>
          <w:p>
            <w:pPr>
              <w:pStyle w:val="9"/>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管理体系认证</w:t>
            </w:r>
          </w:p>
        </w:tc>
        <w:tc>
          <w:tcPr>
            <w:tcW w:w="1293" w:type="dxa"/>
            <w:vAlign w:val="center"/>
          </w:tcPr>
          <w:p>
            <w:pPr>
              <w:pStyle w:val="9"/>
              <w:jc w:val="both"/>
              <w:rPr>
                <w:rFonts w:hint="eastAsia" w:ascii="仿宋" w:hAnsi="仿宋" w:eastAsia="仿宋" w:cs="仿宋"/>
                <w:sz w:val="24"/>
                <w:szCs w:val="24"/>
                <w:highlight w:val="none"/>
                <w:vertAlign w:val="baseline"/>
                <w:lang w:eastAsia="zh-CN"/>
              </w:rPr>
            </w:pPr>
            <w:r>
              <w:rPr>
                <w:rFonts w:hint="eastAsia" w:ascii="仿宋" w:hAnsi="仿宋" w:eastAsia="仿宋" w:cs="仿宋"/>
                <w:kern w:val="2"/>
                <w:sz w:val="24"/>
                <w:szCs w:val="24"/>
                <w:highlight w:val="none"/>
                <w:lang w:val="en-US" w:eastAsia="zh-CN" w:bidi="ar-SA"/>
              </w:rPr>
              <w:t>6</w:t>
            </w:r>
          </w:p>
        </w:tc>
        <w:tc>
          <w:tcPr>
            <w:tcW w:w="5517" w:type="dxa"/>
          </w:tcPr>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具备以下管理体系认证证书且在有效期内的，每项得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z w:val="24"/>
                <w:szCs w:val="24"/>
                <w:lang w:val="en-US" w:eastAsia="zh-CN"/>
              </w:rPr>
              <w:t>质量管理体系认证证书</w:t>
            </w:r>
            <w:r>
              <w:rPr>
                <w:rFonts w:hint="eastAsia" w:ascii="仿宋" w:hAnsi="仿宋" w:eastAsia="仿宋" w:cs="仿宋"/>
                <w:color w:val="auto"/>
                <w:sz w:val="24"/>
                <w:szCs w:val="24"/>
                <w:highlight w:val="none"/>
                <w:lang w:eastAsia="zh-CN"/>
              </w:rPr>
              <w:t>；</w:t>
            </w:r>
          </w:p>
          <w:p>
            <w:pPr>
              <w:tabs>
                <w:tab w:val="left" w:pos="840"/>
              </w:tabs>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sz w:val="24"/>
                <w:szCs w:val="24"/>
                <w:lang w:val="en-US" w:eastAsia="zh-CN"/>
              </w:rPr>
              <w:t>环境管理体系认证证书；</w:t>
            </w:r>
          </w:p>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3、职业健康安全管理体系认证证书</w:t>
            </w:r>
            <w:r>
              <w:rPr>
                <w:rFonts w:hint="eastAsia" w:ascii="仿宋" w:hAnsi="仿宋" w:eastAsia="仿宋" w:cs="仿宋"/>
                <w:color w:val="auto"/>
                <w:sz w:val="24"/>
                <w:szCs w:val="24"/>
                <w:highlight w:val="none"/>
                <w:lang w:eastAsia="zh-CN"/>
              </w:rPr>
              <w:t>。</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tabs>
                <w:tab w:val="left" w:pos="840"/>
              </w:tabs>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需提供《管理体系认证情况一览表》、相关认证证书复印件并加盖公章，同时提供全国认证认可信息公共服务平台网站http://cx.cnca.cn/查询的信息打印页加盖公章。如全国认证认可信息公共服务平台网站无法查询或网站公开信息与认证证书信息不一致的，响应供应商必须提供发证机构出具的证明函。</w:t>
            </w:r>
          </w:p>
          <w:p>
            <w:pPr>
              <w:pStyle w:val="10"/>
              <w:rPr>
                <w:rFonts w:hint="eastAsia"/>
                <w:highlight w:val="none"/>
                <w:lang w:val="en-US" w:eastAsia="zh-CN"/>
              </w:rPr>
            </w:pPr>
            <w:r>
              <w:rPr>
                <w:rFonts w:hint="eastAsia" w:ascii="仿宋" w:hAnsi="仿宋" w:eastAsia="仿宋" w:cs="仿宋"/>
                <w:color w:val="auto"/>
                <w:sz w:val="24"/>
                <w:szCs w:val="24"/>
                <w:highlight w:val="none"/>
                <w:lang w:val="en-US" w:eastAsia="zh-CN"/>
              </w:rPr>
              <w:t>不提供资料或者提供的资料不能有效证明的（如证书已过有效期、已被撤销等），得0分。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234" w:type="dxa"/>
            <w:shd w:val="clear" w:color="auto" w:fill="auto"/>
            <w:vAlign w:val="center"/>
          </w:tcPr>
          <w:p>
            <w:pPr>
              <w:keepNext w:val="0"/>
              <w:keepLines w:val="0"/>
              <w:widowControl/>
              <w:suppressLineNumbers w:val="0"/>
              <w:shd w:val="clear"/>
              <w:jc w:val="cente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安全事故指标考核</w:t>
            </w:r>
          </w:p>
          <w:p>
            <w:pPr>
              <w:pStyle w:val="9"/>
              <w:ind w:left="0" w:leftChars="0" w:firstLine="240" w:firstLineChars="100"/>
              <w:jc w:val="center"/>
              <w:rPr>
                <w:rFonts w:hint="eastAsia" w:ascii="仿宋" w:hAnsi="仿宋" w:eastAsia="仿宋" w:cs="仿宋"/>
                <w:kern w:val="2"/>
                <w:sz w:val="24"/>
                <w:szCs w:val="24"/>
                <w:highlight w:val="none"/>
                <w:lang w:val="en-US" w:eastAsia="zh-CN" w:bidi="ar-SA"/>
              </w:rPr>
            </w:pPr>
          </w:p>
        </w:tc>
        <w:tc>
          <w:tcPr>
            <w:tcW w:w="1293" w:type="dxa"/>
            <w:shd w:val="clear" w:color="auto" w:fill="auto"/>
            <w:vAlign w:val="center"/>
          </w:tcPr>
          <w:p>
            <w:pPr>
              <w:pStyle w:val="9"/>
              <w:ind w:left="0" w:leftChars="0" w:firstLine="0" w:firstLine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5517" w:type="dxa"/>
          </w:tcPr>
          <w:p>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2022年1月1日至今没有发生过生产安全事故（包括</w:t>
            </w:r>
            <w:r>
              <w:rPr>
                <w:rFonts w:hint="eastAsia" w:ascii="仿宋" w:hAnsi="宋体" w:eastAsia="仿宋" w:cs="仿宋"/>
                <w:i w:val="0"/>
                <w:iCs w:val="0"/>
                <w:caps w:val="0"/>
                <w:color w:val="000000"/>
                <w:spacing w:val="0"/>
                <w:sz w:val="24"/>
                <w:szCs w:val="24"/>
                <w:u w:val="none"/>
                <w:shd w:val="clear" w:fill="FFFFFF"/>
              </w:rPr>
              <w:t>生产安全一般事故、较大事故、重大事故、特别重</w:t>
            </w:r>
            <w:r>
              <w:rPr>
                <w:rFonts w:hint="eastAsia" w:ascii="仿宋" w:hAnsi="仿宋" w:eastAsia="仿宋" w:cs="仿宋"/>
                <w:color w:val="auto"/>
                <w:kern w:val="2"/>
                <w:sz w:val="24"/>
                <w:szCs w:val="24"/>
                <w:highlight w:val="none"/>
                <w:lang w:val="en-US" w:eastAsia="zh-CN" w:bidi="ar-SA"/>
              </w:rPr>
              <w:t xml:space="preserve">大事故，以《安全生产法》划分标准为准），得 4分，其余不得分。 </w:t>
            </w:r>
          </w:p>
          <w:p>
            <w:pPr>
              <w:keepNext w:val="0"/>
              <w:keepLines w:val="0"/>
              <w:widowControl/>
              <w:suppressLineNumbers w:val="0"/>
              <w:jc w:val="left"/>
              <w:rPr>
                <w:rFonts w:hint="eastAsia"/>
                <w:highlight w:val="none"/>
                <w:lang w:val="en-US" w:eastAsia="zh-CN"/>
              </w:rPr>
            </w:pPr>
            <w:r>
              <w:rPr>
                <w:rFonts w:hint="eastAsia" w:ascii="仿宋" w:hAnsi="仿宋" w:eastAsia="仿宋" w:cs="仿宋"/>
                <w:color w:val="auto"/>
                <w:kern w:val="2"/>
                <w:sz w:val="24"/>
                <w:szCs w:val="24"/>
                <w:highlight w:val="none"/>
                <w:lang w:val="en-US" w:eastAsia="zh-CN" w:bidi="ar-SA"/>
              </w:rPr>
              <w:t>注：提供承诺函并加盖公章。</w:t>
            </w:r>
          </w:p>
        </w:tc>
      </w:tr>
    </w:tbl>
    <w:p>
      <w:pPr>
        <w:keepNext w:val="0"/>
        <w:keepLines w:val="0"/>
        <w:pageBreakBefore w:val="0"/>
        <w:kinsoku/>
        <w:wordWrap/>
        <w:overflowPunct/>
        <w:topLinePunct w:val="0"/>
        <w:bidi w:val="0"/>
        <w:adjustRightInd w:val="0"/>
        <w:snapToGrid w:val="0"/>
        <w:spacing w:line="400" w:lineRule="exact"/>
        <w:ind w:firstLine="480" w:firstLineChars="200"/>
        <w:jc w:val="left"/>
        <w:rPr>
          <w:rFonts w:hint="eastAsia" w:ascii="仿宋" w:hAnsi="仿宋" w:eastAsia="仿宋" w:cs="仿宋"/>
          <w:b/>
          <w:kern w:val="1"/>
          <w:sz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w:t>
      </w:r>
      <w:r>
        <w:rPr>
          <w:rFonts w:hint="eastAsia" w:ascii="仿宋" w:hAnsi="仿宋" w:eastAsia="仿宋" w:cs="仿宋"/>
          <w:sz w:val="24"/>
          <w:szCs w:val="24"/>
          <w:lang w:val="en-US" w:eastAsia="zh-CN"/>
        </w:rPr>
        <w:t>评分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20分</w:t>
      </w:r>
      <w:r>
        <w:rPr>
          <w:rFonts w:hint="eastAsia" w:ascii="仿宋" w:hAnsi="仿宋" w:eastAsia="仿宋" w:cs="仿宋"/>
          <w:sz w:val="24"/>
          <w:szCs w:val="24"/>
          <w:lang w:eastAsia="zh-CN"/>
        </w:rPr>
        <w:t>）：</w:t>
      </w:r>
      <w:r>
        <w:rPr>
          <w:rFonts w:hint="eastAsia" w:ascii="仿宋" w:hAnsi="仿宋" w:eastAsia="仿宋" w:cs="仿宋"/>
          <w:color w:val="000000"/>
          <w:kern w:val="2"/>
          <w:sz w:val="24"/>
          <w:szCs w:val="24"/>
          <w:highlight w:val="none"/>
          <w:lang w:val="en-US" w:eastAsia="zh-CN"/>
        </w:rPr>
        <w:t>评审小组对各响应供应商的报价情况进行评分，评审的具体内容见《价格评审表》。</w:t>
      </w:r>
    </w:p>
    <w:p>
      <w:pPr>
        <w:keepNext w:val="0"/>
        <w:keepLines w:val="0"/>
        <w:pageBreakBefore w:val="0"/>
        <w:kinsoku/>
        <w:wordWrap/>
        <w:overflowPunct/>
        <w:topLinePunct w:val="0"/>
        <w:bidi w:val="0"/>
        <w:adjustRightInd w:val="0"/>
        <w:snapToGrid w:val="0"/>
        <w:spacing w:line="400" w:lineRule="exact"/>
        <w:jc w:val="center"/>
        <w:rPr>
          <w:rFonts w:hint="default" w:ascii="仿宋" w:hAnsi="仿宋" w:eastAsia="仿宋" w:cs="仿宋"/>
          <w:b/>
          <w:kern w:val="1"/>
          <w:sz w:val="24"/>
          <w:lang w:val="en-US" w:eastAsia="zh-CN"/>
        </w:rPr>
      </w:pPr>
      <w:r>
        <w:rPr>
          <w:rFonts w:hint="eastAsia" w:ascii="仿宋" w:hAnsi="仿宋" w:eastAsia="仿宋" w:cs="仿宋"/>
          <w:b/>
          <w:kern w:val="1"/>
          <w:sz w:val="24"/>
          <w:lang w:val="en-US" w:eastAsia="zh-CN"/>
        </w:rPr>
        <w:t>价格评审表</w:t>
      </w:r>
    </w:p>
    <w:p>
      <w:pPr>
        <w:pStyle w:val="9"/>
        <w:ind w:left="0" w:leftChars="0" w:firstLine="480" w:firstLineChars="200"/>
        <w:rPr>
          <w:rFonts w:hint="eastAsia" w:ascii="仿宋" w:hAnsi="仿宋" w:eastAsia="仿宋" w:cs="仿宋"/>
          <w:sz w:val="24"/>
          <w:szCs w:val="24"/>
        </w:rPr>
      </w:pPr>
    </w:p>
    <w:tbl>
      <w:tblPr>
        <w:tblStyle w:val="26"/>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62"/>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55" w:type="dxa"/>
            <w:noWrap w:val="0"/>
            <w:vAlign w:val="center"/>
          </w:tcPr>
          <w:p>
            <w:pPr>
              <w:jc w:val="center"/>
              <w:rPr>
                <w:rFonts w:hint="eastAsia" w:ascii="仿宋" w:hAnsi="仿宋" w:eastAsia="仿宋" w:cs="仿宋"/>
                <w:b/>
                <w:bCs/>
                <w:kern w:val="0"/>
                <w:sz w:val="24"/>
                <w:lang w:val="en-US" w:eastAsia="zh-CN"/>
              </w:rPr>
            </w:pPr>
            <w:r>
              <w:rPr>
                <w:rFonts w:hint="eastAsia" w:ascii="仿宋" w:hAnsi="仿宋" w:eastAsia="仿宋" w:cs="仿宋"/>
                <w:b/>
                <w:bCs/>
                <w:sz w:val="24"/>
              </w:rPr>
              <w:t>评审</w:t>
            </w:r>
            <w:r>
              <w:rPr>
                <w:rFonts w:hint="eastAsia" w:ascii="仿宋" w:hAnsi="仿宋" w:eastAsia="仿宋" w:cs="仿宋"/>
                <w:b/>
                <w:bCs/>
                <w:sz w:val="24"/>
                <w:lang w:val="en-US" w:eastAsia="zh-CN"/>
              </w:rPr>
              <w:t>内容</w:t>
            </w:r>
          </w:p>
        </w:tc>
        <w:tc>
          <w:tcPr>
            <w:tcW w:w="862"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分值</w:t>
            </w:r>
          </w:p>
        </w:tc>
        <w:tc>
          <w:tcPr>
            <w:tcW w:w="7116"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55" w:type="dxa"/>
            <w:noWrap w:val="0"/>
            <w:vAlign w:val="center"/>
          </w:tcPr>
          <w:p>
            <w:pPr>
              <w:tabs>
                <w:tab w:val="left" w:pos="84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862" w:type="dxa"/>
            <w:noWrap w:val="0"/>
            <w:vAlign w:val="center"/>
          </w:tcPr>
          <w:p>
            <w:pPr>
              <w:tabs>
                <w:tab w:val="left" w:pos="840"/>
              </w:tabs>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7116" w:type="dxa"/>
            <w:noWrap w:val="0"/>
            <w:vAlign w:val="center"/>
          </w:tcPr>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1、基准价的确定:在各有效响应供应商的总报价中，取最低者作为基准价。</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2、各有效响应供应商的价格评分统一按照下列公式计算：价格评分＝（基准价÷响应总报价）×20</w:t>
            </w:r>
          </w:p>
          <w:p>
            <w:pPr>
              <w:tabs>
                <w:tab w:val="left" w:pos="840"/>
              </w:tabs>
              <w:jc w:val="left"/>
              <w:rPr>
                <w:rFonts w:hint="eastAsia" w:ascii="仿宋" w:hAnsi="仿宋" w:eastAsia="仿宋" w:cs="仿宋"/>
                <w:lang w:val="en-US" w:eastAsia="zh-CN"/>
              </w:rPr>
            </w:pPr>
            <w:r>
              <w:rPr>
                <w:rFonts w:hint="eastAsia" w:ascii="仿宋" w:hAnsi="仿宋" w:eastAsia="仿宋" w:cs="仿宋"/>
                <w:b/>
                <w:bCs/>
                <w:color w:val="auto"/>
                <w:sz w:val="24"/>
                <w:szCs w:val="24"/>
                <w:highlight w:val="none"/>
                <w:lang w:val="en-US" w:eastAsia="zh-CN"/>
              </w:rPr>
              <w:t>注:价格评分占总分值的权值为20%，最低报价不是中选的唯一依据。</w:t>
            </w:r>
          </w:p>
        </w:tc>
      </w:tr>
    </w:tbl>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pPr>
        <w:pStyle w:val="33"/>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pPr>
        <w:pStyle w:val="33"/>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四、成交</w:t>
      </w:r>
      <w:r>
        <w:rPr>
          <w:rFonts w:hint="eastAsia" w:ascii="仿宋" w:hAnsi="仿宋" w:eastAsia="仿宋" w:cs="仿宋"/>
          <w:b/>
          <w:bCs/>
          <w:color w:val="000000"/>
          <w:sz w:val="24"/>
          <w:szCs w:val="24"/>
          <w:highlight w:val="none"/>
        </w:rPr>
        <w:t>结果</w:t>
      </w:r>
      <w:r>
        <w:rPr>
          <w:rFonts w:hint="eastAsia" w:ascii="仿宋" w:hAnsi="仿宋" w:eastAsia="仿宋" w:cs="仿宋"/>
          <w:b/>
          <w:bCs/>
          <w:color w:val="000000"/>
          <w:sz w:val="24"/>
          <w:szCs w:val="24"/>
          <w:highlight w:val="none"/>
          <w:lang w:val="en-US" w:eastAsia="zh-CN"/>
        </w:rPr>
        <w:t>发布渠道</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五、质疑与询问</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评审小组</w:t>
      </w:r>
      <w:r>
        <w:rPr>
          <w:rFonts w:hint="eastAsia" w:ascii="仿宋" w:hAnsi="仿宋" w:eastAsia="仿宋" w:cs="仿宋"/>
          <w:color w:val="000000"/>
          <w:sz w:val="24"/>
          <w:szCs w:val="24"/>
          <w:highlight w:val="none"/>
        </w:rPr>
        <w:t>协助答复。</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368" w:leftChars="175" w:firstLine="50" w:firstLineChars="21"/>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175"/>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供应商为法人或者其他组织的，应当由法定代表人或者其授权代表签字或者盖章，并加盖</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公章。</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深汕中心医院监督科</w:t>
      </w:r>
      <w:r>
        <w:rPr>
          <w:rFonts w:hint="eastAsia" w:ascii="仿宋" w:hAnsi="仿宋" w:eastAsia="仿宋" w:cs="仿宋"/>
          <w:sz w:val="24"/>
          <w:szCs w:val="24"/>
          <w:highlight w:val="none"/>
        </w:rPr>
        <w:t>、招投标与采购管理办公室</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3863498</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六、合同的订立 </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color w:val="000000"/>
          <w:sz w:val="24"/>
          <w:szCs w:val="24"/>
          <w:highlight w:val="none"/>
          <w:lang w:val="en-US" w:eastAsia="zh-CN"/>
        </w:rPr>
      </w:pPr>
    </w:p>
    <w:p>
      <w:pPr>
        <w:pStyle w:val="22"/>
        <w:keepNext w:val="0"/>
        <w:keepLines w:val="0"/>
        <w:pageBreakBefore w:val="0"/>
        <w:widowControl/>
        <w:suppressLineNumbers w:val="0"/>
        <w:tabs>
          <w:tab w:val="left" w:pos="1595"/>
          <w:tab w:val="center" w:pos="4790"/>
        </w:tabs>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第四部分  合同参考文本</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bCs/>
          <w:kern w:val="44"/>
          <w:sz w:val="24"/>
          <w:szCs w:val="24"/>
          <w:lang w:val="en-US" w:eastAsia="zh-CN" w:bidi="ar-SA"/>
        </w:rPr>
      </w:pPr>
      <w:r>
        <w:rPr>
          <w:rFonts w:hint="eastAsia" w:ascii="仿宋" w:hAnsi="仿宋" w:eastAsia="仿宋" w:cs="仿宋"/>
          <w:b/>
          <w:bCs/>
          <w:kern w:val="44"/>
          <w:sz w:val="24"/>
          <w:szCs w:val="24"/>
          <w:lang w:val="en-US" w:eastAsia="zh-CN" w:bidi="ar-SA"/>
        </w:rPr>
        <w:t>（注：本合同仅为参考文本，合同签订双方可根据项目的具体要求进行修订，但不得偏离实质性条款。）</w:t>
      </w:r>
    </w:p>
    <w:p>
      <w:pPr>
        <w:adjustRightInd w:val="0"/>
        <w:snapToGrid w:val="0"/>
        <w:spacing w:line="360" w:lineRule="auto"/>
        <w:jc w:val="center"/>
        <w:rPr>
          <w:rFonts w:hint="eastAsia" w:ascii="仿宋" w:hAnsi="仿宋" w:eastAsia="仿宋" w:cs="仿宋"/>
          <w:b/>
          <w:bCs/>
          <w:sz w:val="28"/>
          <w:szCs w:val="28"/>
          <w:lang w:val="en-US" w:eastAsia="zh-CN"/>
        </w:rPr>
      </w:pPr>
    </w:p>
    <w:p>
      <w:pPr>
        <w:adjustRightInd w:val="0"/>
        <w:snapToGrid w:val="0"/>
        <w:spacing w:line="360" w:lineRule="auto"/>
        <w:jc w:val="center"/>
        <w:rPr>
          <w:rFonts w:hint="eastAsia" w:ascii="仿宋" w:hAnsi="仿宋" w:eastAsia="仿宋" w:cs="仿宋"/>
          <w:lang w:val="en-US" w:eastAsia="zh-CN"/>
        </w:rPr>
      </w:pPr>
      <w:r>
        <w:rPr>
          <w:rFonts w:hint="eastAsia" w:ascii="仿宋" w:hAnsi="仿宋" w:eastAsia="仿宋" w:cs="仿宋"/>
          <w:b/>
          <w:bCs/>
          <w:sz w:val="28"/>
          <w:szCs w:val="28"/>
          <w:lang w:val="en-US" w:eastAsia="zh-CN"/>
        </w:rPr>
        <w:t>中山大学孙逸仙纪念医院深汕中心医院医气正负压机组维保服务合同</w:t>
      </w:r>
    </w:p>
    <w:p>
      <w:pPr>
        <w:spacing w:line="400" w:lineRule="exact"/>
        <w:jc w:val="left"/>
        <w:rPr>
          <w:rFonts w:hint="eastAsia" w:ascii="仿宋" w:hAnsi="仿宋" w:eastAsia="仿宋" w:cs="仿宋"/>
          <w:b/>
          <w:sz w:val="24"/>
          <w:szCs w:val="24"/>
        </w:rPr>
      </w:pPr>
      <w:r>
        <w:rPr>
          <w:rFonts w:hint="eastAsia" w:ascii="仿宋" w:hAnsi="仿宋" w:eastAsia="仿宋" w:cs="仿宋"/>
          <w:b/>
          <w:sz w:val="24"/>
          <w:szCs w:val="24"/>
          <w:lang w:val="en-US" w:eastAsia="zh-CN"/>
        </w:rPr>
        <w:t>合同</w:t>
      </w:r>
      <w:r>
        <w:rPr>
          <w:rFonts w:hint="eastAsia" w:ascii="仿宋" w:hAnsi="仿宋" w:eastAsia="仿宋" w:cs="仿宋"/>
          <w:b/>
          <w:sz w:val="24"/>
          <w:szCs w:val="24"/>
        </w:rPr>
        <w:t>编号：</w:t>
      </w:r>
    </w:p>
    <w:p>
      <w:pPr>
        <w:spacing w:line="400" w:lineRule="exact"/>
        <w:jc w:val="left"/>
        <w:rPr>
          <w:rFonts w:hint="eastAsia" w:ascii="仿宋" w:hAnsi="仿宋" w:eastAsia="仿宋" w:cs="仿宋"/>
          <w:b/>
          <w:sz w:val="24"/>
          <w:szCs w:val="24"/>
        </w:rPr>
      </w:pPr>
      <w:r>
        <w:rPr>
          <w:rFonts w:hint="eastAsia" w:ascii="仿宋" w:hAnsi="仿宋" w:eastAsia="仿宋" w:cs="仿宋"/>
          <w:b/>
          <w:sz w:val="24"/>
          <w:szCs w:val="24"/>
        </w:rPr>
        <w:t>甲方：中山大学孙逸仙纪念医院深汕中心医院</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乙方：</w:t>
      </w: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lang w:eastAsia="zh-CN"/>
        </w:rPr>
      </w:pPr>
      <w:r>
        <w:rPr>
          <w:rFonts w:hint="eastAsia" w:ascii="仿宋" w:hAnsi="仿宋" w:eastAsia="仿宋" w:cs="仿宋"/>
          <w:sz w:val="24"/>
          <w:szCs w:val="24"/>
        </w:rPr>
        <w:t>根据《中华人民共和国民法典》及</w:t>
      </w:r>
      <w:r>
        <w:rPr>
          <w:rFonts w:hint="eastAsia" w:ascii="仿宋" w:hAnsi="仿宋" w:eastAsia="仿宋" w:cs="仿宋"/>
          <w:sz w:val="24"/>
          <w:szCs w:val="24"/>
          <w:lang w:val="en-US" w:eastAsia="zh-CN"/>
        </w:rPr>
        <w:t>中山大学孙逸仙纪念医院深汕中心医院医气正负压机组维保服务项目（第二次采购）采购</w:t>
      </w:r>
      <w:r>
        <w:rPr>
          <w:rFonts w:hint="eastAsia" w:ascii="仿宋" w:hAnsi="仿宋" w:eastAsia="仿宋" w:cs="仿宋"/>
          <w:sz w:val="24"/>
          <w:szCs w:val="24"/>
        </w:rPr>
        <w:t>文件</w:t>
      </w:r>
      <w:r>
        <w:rPr>
          <w:rFonts w:hint="eastAsia" w:ascii="仿宋" w:hAnsi="仿宋" w:eastAsia="仿宋" w:cs="仿宋"/>
          <w:sz w:val="24"/>
          <w:szCs w:val="24"/>
          <w:lang w:val="en-US" w:eastAsia="zh-CN"/>
        </w:rPr>
        <w:t>（项目编号：ZCB-20240010）</w:t>
      </w:r>
      <w:r>
        <w:rPr>
          <w:rFonts w:hint="eastAsia" w:ascii="仿宋" w:hAnsi="仿宋" w:eastAsia="仿宋" w:cs="仿宋"/>
          <w:sz w:val="24"/>
          <w:szCs w:val="24"/>
        </w:rPr>
        <w:t>的要求和</w:t>
      </w:r>
      <w:r>
        <w:rPr>
          <w:rFonts w:hint="eastAsia" w:ascii="仿宋" w:hAnsi="仿宋" w:eastAsia="仿宋" w:cs="仿宋"/>
          <w:sz w:val="24"/>
          <w:szCs w:val="24"/>
          <w:lang w:val="en-US" w:eastAsia="zh-CN"/>
        </w:rPr>
        <w:t>采购</w:t>
      </w:r>
      <w:r>
        <w:rPr>
          <w:rFonts w:hint="eastAsia" w:ascii="仿宋" w:hAnsi="仿宋" w:eastAsia="仿宋" w:cs="仿宋"/>
          <w:sz w:val="24"/>
          <w:szCs w:val="24"/>
        </w:rPr>
        <w:t>结果，经甲乙双方协商一致，签订本合同。双方共同遵守如下条款</w:t>
      </w:r>
      <w:r>
        <w:rPr>
          <w:rFonts w:hint="eastAsia" w:ascii="仿宋" w:hAnsi="仿宋" w:eastAsia="仿宋" w:cs="仿宋"/>
          <w:sz w:val="24"/>
          <w:szCs w:val="24"/>
          <w:lang w:eastAsia="zh-CN"/>
        </w:rPr>
        <w:t>：</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1.项目名称：中山大学孙逸仙纪念医院深汕中心医院医气正负压机组维保服务项目（项目编号：ZCB-20240010）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2.项目服务地址：中山大学孙逸仙纪念医院深汕中心医院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lang w:val="en-US" w:eastAsia="zh-CN"/>
        </w:rPr>
      </w:pPr>
      <w:r>
        <w:rPr>
          <w:rFonts w:hint="eastAsia" w:ascii="仿宋" w:hAnsi="仿宋" w:eastAsia="仿宋" w:cs="仿宋"/>
          <w:sz w:val="24"/>
          <w:szCs w:val="24"/>
          <w:lang w:val="en-US" w:eastAsia="zh-CN"/>
        </w:rPr>
        <w:t>3.项目服务时间：自本合同生效之日起，至服务期满1年或服务费用结算总额累计达到本合同第三条第1款约定的服务费用含税总金额时止（以两者先到者为准）。</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服务内容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lang w:val="en-US" w:eastAsia="zh-CN"/>
        </w:rPr>
      </w:pPr>
      <w:r>
        <w:rPr>
          <w:rFonts w:hint="eastAsia" w:ascii="仿宋" w:hAnsi="仿宋" w:eastAsia="仿宋" w:cs="仿宋"/>
          <w:sz w:val="24"/>
          <w:szCs w:val="24"/>
          <w:lang w:val="en-US" w:eastAsia="zh-CN"/>
        </w:rPr>
        <w:t>乙方为甲方提供医气正负压机组维保服务，包括气正负压机组的零配件更换服务、设备带安装及管线铺设服务。具体服务要求详见中山大学孙逸仙纪念医院深汕中心医院医气正负压机组维保服务项目（第二次采购）采购文件（项目编号：ZCB-20240010）《第二部分 用户需求书》。</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合同金额、结算及付款方式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1.服务费用含税总金额为人民币（大写）     （小写：     元）。如本合同生效之日起1年内服务费用结算金额累计达到前述总金额，则本合同自行终止。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费用按季度结算及支付。每季度完结后，在下一季度首月10号前甲乙双方确认工作量后签署验收单，服务费用结算金额按甲乙双方确认的验收单上的工作量乘以成交单价计算（成交单价详见附件《报价一览表》复印件）。乙方按照结算金额开具发票，在符合院内财务审核流程后十个工作日内支付上一季度费用。</w:t>
      </w:r>
    </w:p>
    <w:p>
      <w:pPr>
        <w:keepNext w:val="0"/>
        <w:keepLines w:val="0"/>
        <w:pageBreakBefore w:val="0"/>
        <w:shd w:val="clear"/>
        <w:kinsoku/>
        <w:wordWrap/>
        <w:overflowPunct/>
        <w:topLinePunct w:val="0"/>
        <w:autoSpaceDE/>
        <w:autoSpaceDN/>
        <w:bidi w:val="0"/>
        <w:adjustRightInd/>
        <w:snapToGrid/>
        <w:spacing w:line="400" w:lineRule="exact"/>
        <w:ind w:left="0" w:leftChars="0" w:firstLine="501" w:firstLineChars="209"/>
        <w:jc w:val="both"/>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3.服务费用将以银行转账方式支付，</w:t>
      </w:r>
      <w:r>
        <w:rPr>
          <w:rFonts w:hint="eastAsia" w:ascii="仿宋" w:hAnsi="仿宋" w:eastAsia="仿宋" w:cs="仿宋"/>
          <w:color w:val="000000"/>
          <w:sz w:val="24"/>
          <w:szCs w:val="24"/>
          <w:lang w:val="en-US" w:eastAsia="zh-CN"/>
        </w:rPr>
        <w:t>乙方的收款银行</w:t>
      </w:r>
      <w:r>
        <w:rPr>
          <w:rFonts w:hint="eastAsia" w:ascii="仿宋" w:hAnsi="仿宋" w:eastAsia="仿宋" w:cs="仿宋"/>
          <w:color w:val="000000"/>
          <w:sz w:val="24"/>
          <w:szCs w:val="24"/>
        </w:rPr>
        <w:t>账户</w:t>
      </w:r>
      <w:r>
        <w:rPr>
          <w:rFonts w:hint="eastAsia" w:ascii="仿宋" w:hAnsi="仿宋" w:eastAsia="仿宋" w:cs="仿宋"/>
          <w:color w:val="000000"/>
          <w:sz w:val="24"/>
          <w:szCs w:val="24"/>
          <w:lang w:val="en-US" w:eastAsia="zh-CN"/>
        </w:rPr>
        <w:t>如下</w:t>
      </w:r>
      <w:r>
        <w:rPr>
          <w:rFonts w:hint="eastAsia" w:ascii="仿宋" w:hAnsi="仿宋" w:eastAsia="仿宋" w:cs="仿宋"/>
          <w:color w:val="000000"/>
          <w:sz w:val="24"/>
          <w:szCs w:val="24"/>
        </w:rPr>
        <w:t>：</w:t>
      </w:r>
    </w:p>
    <w:p>
      <w:pPr>
        <w:keepNext w:val="0"/>
        <w:keepLines w:val="0"/>
        <w:pageBreakBefore w:val="0"/>
        <w:shd w:val="clear"/>
        <w:kinsoku/>
        <w:wordWrap/>
        <w:overflowPunct/>
        <w:topLinePunct w:val="0"/>
        <w:autoSpaceDE/>
        <w:autoSpaceDN/>
        <w:bidi w:val="0"/>
        <w:adjustRightInd/>
        <w:snapToGrid/>
        <w:spacing w:line="400" w:lineRule="exact"/>
        <w:ind w:left="0" w:leftChars="0" w:firstLine="501" w:firstLineChars="209"/>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w:t>
      </w:r>
    </w:p>
    <w:p>
      <w:pPr>
        <w:keepNext w:val="0"/>
        <w:keepLines w:val="0"/>
        <w:pageBreakBefore w:val="0"/>
        <w:shd w:val="clear"/>
        <w:kinsoku/>
        <w:wordWrap/>
        <w:overflowPunct/>
        <w:topLinePunct w:val="0"/>
        <w:autoSpaceDE/>
        <w:autoSpaceDN/>
        <w:bidi w:val="0"/>
        <w:adjustRightInd/>
        <w:snapToGrid/>
        <w:spacing w:line="400" w:lineRule="exact"/>
        <w:ind w:left="0" w:leftChars="0" w:firstLine="501" w:firstLineChars="209"/>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p>
    <w:p>
      <w:pPr>
        <w:keepNext w:val="0"/>
        <w:keepLines w:val="0"/>
        <w:pageBreakBefore w:val="0"/>
        <w:shd w:val="clear"/>
        <w:kinsoku/>
        <w:wordWrap/>
        <w:overflowPunct/>
        <w:topLinePunct w:val="0"/>
        <w:autoSpaceDE/>
        <w:autoSpaceDN/>
        <w:bidi w:val="0"/>
        <w:adjustRightInd/>
        <w:snapToGrid/>
        <w:spacing w:line="400" w:lineRule="exact"/>
        <w:ind w:left="0" w:leftChars="0" w:firstLine="501" w:firstLineChars="209"/>
        <w:jc w:val="both"/>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rPr>
        <w:t>户名：</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违约与责任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1.乙方未按相应的施工规范进行更换配件工作而造成主要设备故障，影响医疗工作的扣减合同总金额5%/次，并对由此造成的后果负全责，导致医疗事故的追究乙方有关法律责任并赔偿损失；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2.因乙方安装责任造成设备带故障影响病人使用的扣减合同总金额5%/次；导致医疗事故的追究乙方有关法律责任并赔偿损失；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3.乙方在接到甲方施工指令后，三天内仍未进场施工且未与甲方协商，每次扣减合同总金额1%；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4.乙方未按约定执行的，甲方有权单方面终止约定，乙方同意甲方将其损失金额从合同总金额中予以抵扣。如果维保款项不足以抵扣赔偿额，甲方有权就未能抵扣部分向乙方要求赔偿。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rPr>
      </w:pPr>
      <w:r>
        <w:rPr>
          <w:rFonts w:hint="eastAsia" w:ascii="仿宋" w:hAnsi="仿宋" w:eastAsia="仿宋" w:cs="仿宋"/>
          <w:sz w:val="24"/>
          <w:szCs w:val="24"/>
          <w:lang w:val="en-US" w:eastAsia="zh-CN"/>
        </w:rPr>
        <w:t>5.若甲方未能按合同规定支付费用，在乙方发出书面通知给甲方之日起15天后，乙方可自行停止服务工作，直至甲方付款为止。由此引起的一切责任与乙方无关，同时甲方需向乙方支付合同金额的 5‰ 作为违约金，当违约金达到合同总价的15% 后，乙方有权终止合同。</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其他事项</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left="0" w:leftChars="0" w:firstLine="501" w:firstLineChars="20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1.服务</w:t>
      </w:r>
      <w:r>
        <w:rPr>
          <w:rFonts w:hint="eastAsia" w:ascii="仿宋" w:hAnsi="仿宋" w:eastAsia="仿宋" w:cs="仿宋"/>
          <w:sz w:val="24"/>
          <w:szCs w:val="24"/>
        </w:rPr>
        <w:t>期间，乙方指派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同志</w:t>
      </w:r>
      <w:r>
        <w:rPr>
          <w:rFonts w:hint="eastAsia" w:ascii="仿宋" w:hAnsi="仿宋" w:eastAsia="仿宋" w:cs="仿宋"/>
          <w:sz w:val="24"/>
          <w:szCs w:val="24"/>
          <w:lang w:eastAsia="zh-CN"/>
        </w:rPr>
        <w:t>（</w:t>
      </w:r>
      <w:r>
        <w:rPr>
          <w:rFonts w:hint="eastAsia" w:ascii="仿宋" w:hAnsi="仿宋" w:eastAsia="仿宋" w:cs="仿宋"/>
          <w:sz w:val="24"/>
          <w:szCs w:val="24"/>
        </w:rPr>
        <w:t>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为项目经理，负责有关安全生产、监督、协调等工作，甲、乙双方密切配合，共同预防事故发生。</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left="0" w:leftChars="0" w:firstLine="501" w:firstLineChars="20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本合同共</w:t>
      </w:r>
      <w:r>
        <w:rPr>
          <w:rFonts w:hint="eastAsia" w:ascii="仿宋" w:hAnsi="仿宋" w:eastAsia="仿宋" w:cs="仿宋"/>
          <w:sz w:val="24"/>
          <w:szCs w:val="24"/>
          <w:lang w:val="en-US" w:eastAsia="zh-CN"/>
        </w:rPr>
        <w:t>伍</w:t>
      </w:r>
      <w:r>
        <w:rPr>
          <w:rFonts w:hint="eastAsia" w:ascii="仿宋" w:hAnsi="仿宋" w:eastAsia="仿宋" w:cs="仿宋"/>
          <w:sz w:val="24"/>
          <w:szCs w:val="24"/>
        </w:rPr>
        <w:t>份。甲方持</w:t>
      </w:r>
      <w:r>
        <w:rPr>
          <w:rFonts w:hint="eastAsia" w:ascii="仿宋" w:hAnsi="仿宋" w:eastAsia="仿宋" w:cs="仿宋"/>
          <w:sz w:val="24"/>
          <w:szCs w:val="24"/>
          <w:lang w:val="en-US" w:eastAsia="zh-CN"/>
        </w:rPr>
        <w:t>叁</w:t>
      </w:r>
      <w:r>
        <w:rPr>
          <w:rFonts w:hint="eastAsia" w:ascii="仿宋" w:hAnsi="仿宋" w:eastAsia="仿宋" w:cs="仿宋"/>
          <w:sz w:val="24"/>
          <w:szCs w:val="24"/>
        </w:rPr>
        <w:t>份，乙方持贰份，本合同经双方</w:t>
      </w:r>
      <w:r>
        <w:rPr>
          <w:rFonts w:hint="eastAsia" w:ascii="仿宋" w:hAnsi="仿宋" w:eastAsia="仿宋" w:cs="仿宋"/>
          <w:sz w:val="24"/>
          <w:szCs w:val="24"/>
          <w:lang w:val="en-US" w:eastAsia="zh-CN"/>
        </w:rPr>
        <w:t>法定代表人或授权代表签章并加盖公</w:t>
      </w:r>
      <w:r>
        <w:rPr>
          <w:rFonts w:hint="eastAsia" w:ascii="仿宋" w:hAnsi="仿宋" w:eastAsia="仿宋" w:cs="仿宋"/>
          <w:sz w:val="24"/>
          <w:szCs w:val="24"/>
        </w:rPr>
        <w:t>章后即生效。</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left="0" w:leftChars="0" w:firstLine="501" w:firstLineChars="20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本合同在履行过程中，如发生争议，应由双方协商解决。若协商不成时，由汕尾市相应级别的人民法院依法审理。</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（以下无正文）</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附件：《报价一览表》复印件</w:t>
      </w:r>
    </w:p>
    <w:tbl>
      <w:tblPr>
        <w:tblStyle w:val="26"/>
        <w:tblpPr w:leftFromText="180" w:rightFromText="180" w:vertAnchor="text" w:horzAnchor="page" w:tblpX="943" w:tblpY="198"/>
        <w:tblOverlap w:val="never"/>
        <w:tblW w:w="10169" w:type="dxa"/>
        <w:tblInd w:w="0" w:type="dxa"/>
        <w:tblLayout w:type="fixed"/>
        <w:tblCellMar>
          <w:top w:w="0" w:type="dxa"/>
          <w:left w:w="108" w:type="dxa"/>
          <w:bottom w:w="0" w:type="dxa"/>
          <w:right w:w="108" w:type="dxa"/>
        </w:tblCellMar>
      </w:tblPr>
      <w:tblGrid>
        <w:gridCol w:w="5423"/>
        <w:gridCol w:w="4746"/>
      </w:tblGrid>
      <w:tr>
        <w:tblPrEx>
          <w:tblCellMar>
            <w:top w:w="0" w:type="dxa"/>
            <w:left w:w="108" w:type="dxa"/>
            <w:bottom w:w="0" w:type="dxa"/>
            <w:right w:w="108" w:type="dxa"/>
          </w:tblCellMar>
        </w:tblPrEx>
        <w:tc>
          <w:tcPr>
            <w:tcW w:w="5423" w:type="dxa"/>
          </w:tcPr>
          <w:p>
            <w:pPr>
              <w:pStyle w:val="43"/>
              <w:autoSpaceDE w:val="0"/>
              <w:autoSpaceDN w:val="0"/>
              <w:spacing w:line="36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甲</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方：</w:t>
            </w:r>
            <w:r>
              <w:rPr>
                <w:rFonts w:hint="eastAsia" w:ascii="仿宋" w:hAnsi="仿宋" w:eastAsia="仿宋" w:cs="仿宋"/>
                <w:bCs/>
                <w:spacing w:val="-4"/>
                <w:sz w:val="24"/>
                <w:szCs w:val="24"/>
                <w:u w:val="single"/>
                <w:lang w:val="en-US"/>
              </w:rPr>
              <w:t xml:space="preserve">                                    </w:t>
            </w:r>
          </w:p>
          <w:p>
            <w:pPr>
              <w:pStyle w:val="43"/>
              <w:autoSpaceDE w:val="0"/>
              <w:autoSpaceDN w:val="0"/>
              <w:spacing w:line="36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lang w:val="en-US" w:eastAsia="zh-CN"/>
              </w:rPr>
              <w:t>法定代表人/授权代表</w:t>
            </w:r>
            <w:r>
              <w:rPr>
                <w:rFonts w:hint="eastAsia" w:ascii="仿宋" w:hAnsi="仿宋" w:eastAsia="仿宋" w:cs="仿宋"/>
                <w:b w:val="0"/>
                <w:bCs/>
                <w:sz w:val="24"/>
                <w:szCs w:val="24"/>
              </w:rPr>
              <w:t>：</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43"/>
              <w:autoSpaceDE w:val="0"/>
              <w:autoSpaceDN w:val="0"/>
              <w:spacing w:line="36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lang w:val="en-US"/>
              </w:rPr>
              <w:t>纳税人识别号：</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43"/>
              <w:autoSpaceDE w:val="0"/>
              <w:autoSpaceDN w:val="0"/>
              <w:spacing w:line="360" w:lineRule="auto"/>
              <w:ind w:left="1405" w:hanging="1200" w:hangingChars="500"/>
              <w:rPr>
                <w:rFonts w:hint="eastAsia" w:ascii="仿宋" w:hAnsi="仿宋" w:eastAsia="仿宋" w:cs="仿宋"/>
                <w:bCs/>
                <w:spacing w:val="-3"/>
                <w:sz w:val="24"/>
                <w:szCs w:val="24"/>
                <w:u w:val="single"/>
                <w:lang w:val="en-US"/>
              </w:rPr>
            </w:pPr>
            <w:r>
              <w:rPr>
                <w:rFonts w:hint="eastAsia" w:ascii="仿宋" w:hAnsi="仿宋" w:eastAsia="仿宋" w:cs="仿宋"/>
                <w:b w:val="0"/>
                <w:bCs/>
                <w:sz w:val="24"/>
                <w:szCs w:val="24"/>
                <w:u w:val="none"/>
                <w:lang w:val="en-US"/>
              </w:rPr>
              <w:t>地    址：</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联系电话：</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p>
          <w:p>
            <w:pPr>
              <w:pStyle w:val="43"/>
              <w:autoSpaceDE w:val="0"/>
              <w:autoSpaceDN w:val="0"/>
              <w:spacing w:line="360" w:lineRule="auto"/>
              <w:ind w:left="1680" w:hanging="1440" w:hangingChars="600"/>
              <w:rPr>
                <w:rFonts w:hint="eastAsia" w:ascii="仿宋" w:hAnsi="仿宋" w:eastAsia="仿宋" w:cs="仿宋"/>
                <w:bCs/>
                <w:sz w:val="24"/>
                <w:szCs w:val="24"/>
                <w:u w:val="single"/>
                <w:lang w:val="en-US"/>
              </w:rPr>
            </w:pPr>
            <w:r>
              <w:rPr>
                <w:rFonts w:hint="eastAsia" w:ascii="仿宋" w:hAnsi="仿宋" w:eastAsia="仿宋" w:cs="仿宋"/>
                <w:b w:val="0"/>
                <w:bCs/>
                <w:sz w:val="24"/>
                <w:szCs w:val="24"/>
              </w:rPr>
              <w:t>开户银行：</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p>
          <w:p>
            <w:pPr>
              <w:spacing w:line="360" w:lineRule="auto"/>
              <w:ind w:firstLine="0" w:firstLineChars="0"/>
              <w:rPr>
                <w:rFonts w:hint="eastAsia" w:ascii="仿宋" w:hAnsi="仿宋" w:eastAsia="仿宋" w:cs="仿宋"/>
                <w:b w:val="0"/>
                <w:bCs/>
                <w:color w:val="auto"/>
                <w:kern w:val="2"/>
                <w:sz w:val="24"/>
                <w:szCs w:val="24"/>
                <w:lang w:bidi="zh-CN"/>
              </w:rPr>
            </w:pPr>
            <w:r>
              <w:rPr>
                <w:rFonts w:hint="eastAsia" w:ascii="仿宋" w:hAnsi="仿宋" w:eastAsia="仿宋" w:cs="仿宋"/>
                <w:b w:val="0"/>
                <w:bCs/>
                <w:sz w:val="24"/>
                <w:szCs w:val="24"/>
              </w:rPr>
              <w:t>开户帐号：</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p>
          <w:p>
            <w:pPr>
              <w:pStyle w:val="36"/>
              <w:spacing w:line="360" w:lineRule="auto"/>
              <w:jc w:val="right"/>
              <w:rPr>
                <w:rFonts w:hint="eastAsia" w:ascii="仿宋" w:hAnsi="仿宋" w:eastAsia="仿宋" w:cs="仿宋"/>
                <w:b w:val="0"/>
                <w:bCs/>
                <w:sz w:val="24"/>
                <w:szCs w:val="24"/>
              </w:rPr>
            </w:pPr>
            <w:r>
              <w:rPr>
                <w:rFonts w:hint="eastAsia" w:ascii="仿宋" w:hAnsi="仿宋" w:eastAsia="仿宋" w:cs="仿宋"/>
                <w:b w:val="0"/>
                <w:bCs/>
                <w:color w:val="auto"/>
                <w:kern w:val="2"/>
                <w:sz w:val="24"/>
                <w:szCs w:val="24"/>
                <w:lang w:bidi="zh-CN"/>
              </w:rPr>
              <w:t>年</w:t>
            </w:r>
            <w:r>
              <w:rPr>
                <w:rFonts w:hint="eastAsia" w:ascii="仿宋" w:hAnsi="仿宋" w:eastAsia="仿宋" w:cs="仿宋"/>
                <w:b w:val="0"/>
                <w:bCs/>
                <w:color w:val="auto"/>
                <w:kern w:val="2"/>
                <w:sz w:val="24"/>
                <w:szCs w:val="24"/>
                <w:lang w:val="en-US" w:bidi="zh-CN"/>
              </w:rPr>
              <w:t xml:space="preserve">   </w:t>
            </w:r>
            <w:r>
              <w:rPr>
                <w:rFonts w:hint="eastAsia" w:ascii="仿宋" w:hAnsi="仿宋" w:eastAsia="仿宋" w:cs="仿宋"/>
                <w:b w:val="0"/>
                <w:bCs/>
                <w:color w:val="auto"/>
                <w:kern w:val="2"/>
                <w:sz w:val="24"/>
                <w:szCs w:val="24"/>
                <w:lang w:bidi="zh-CN"/>
              </w:rPr>
              <w:t>月</w:t>
            </w:r>
            <w:r>
              <w:rPr>
                <w:rFonts w:hint="eastAsia" w:ascii="仿宋" w:hAnsi="仿宋" w:eastAsia="仿宋" w:cs="仿宋"/>
                <w:b w:val="0"/>
                <w:bCs/>
                <w:color w:val="auto"/>
                <w:kern w:val="2"/>
                <w:sz w:val="24"/>
                <w:szCs w:val="24"/>
                <w:lang w:val="en-US" w:bidi="zh-CN"/>
              </w:rPr>
              <w:t xml:space="preserve">   </w:t>
            </w:r>
            <w:r>
              <w:rPr>
                <w:rFonts w:hint="eastAsia" w:ascii="仿宋" w:hAnsi="仿宋" w:eastAsia="仿宋" w:cs="仿宋"/>
                <w:b w:val="0"/>
                <w:bCs/>
                <w:color w:val="auto"/>
                <w:kern w:val="2"/>
                <w:sz w:val="24"/>
                <w:szCs w:val="24"/>
                <w:lang w:bidi="zh-CN"/>
              </w:rPr>
              <w:t>日</w:t>
            </w:r>
          </w:p>
        </w:tc>
        <w:tc>
          <w:tcPr>
            <w:tcW w:w="4746" w:type="dxa"/>
          </w:tcPr>
          <w:p>
            <w:pPr>
              <w:pStyle w:val="43"/>
              <w:autoSpaceDE w:val="0"/>
              <w:autoSpaceDN w:val="0"/>
              <w:spacing w:line="36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乙</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方：</w:t>
            </w:r>
            <w:r>
              <w:rPr>
                <w:rFonts w:hint="eastAsia" w:ascii="仿宋" w:hAnsi="仿宋" w:eastAsia="仿宋" w:cs="仿宋"/>
                <w:bCs/>
                <w:spacing w:val="-4"/>
                <w:sz w:val="24"/>
                <w:szCs w:val="24"/>
                <w:u w:val="single"/>
                <w:lang w:val="en-US"/>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法定代表人/授权代表</w:t>
            </w:r>
            <w:r>
              <w:rPr>
                <w:rFonts w:hint="eastAsia" w:ascii="仿宋" w:hAnsi="仿宋" w:eastAsia="仿宋" w:cs="仿宋"/>
                <w:b w:val="0"/>
                <w:bCs/>
                <w:sz w:val="24"/>
                <w:szCs w:val="24"/>
              </w:rPr>
              <w:t>：</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rPr>
              <w:t>纳税人识别号：</w:t>
            </w:r>
            <w:r>
              <w:rPr>
                <w:rFonts w:hint="eastAsia" w:ascii="仿宋" w:hAnsi="仿宋" w:eastAsia="仿宋" w:cs="仿宋"/>
                <w:b w:val="0"/>
                <w:bCs/>
                <w:sz w:val="24"/>
                <w:szCs w:val="24"/>
                <w:u w:val="none"/>
                <w:lang w:val="en-US" w:eastAsia="zh-CN"/>
              </w:rPr>
              <w:t xml:space="preserve"> </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地</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址：</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联系电话</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开户银行：</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开户帐号：</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年</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月</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日</w:t>
            </w:r>
          </w:p>
        </w:tc>
      </w:tr>
    </w:tbl>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default"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第五部分  响应文件格式</w:t>
      </w:r>
    </w:p>
    <w:p>
      <w:pPr>
        <w:pStyle w:val="33"/>
        <w:ind w:left="0" w:leftChars="0" w:firstLine="0" w:firstLineChars="0"/>
        <w:rPr>
          <w:rFonts w:hint="eastAsia" w:ascii="仿宋" w:hAnsi="仿宋" w:eastAsia="仿宋" w:cs="仿宋"/>
          <w:b/>
          <w:bCs w:val="0"/>
          <w:color w:val="auto"/>
          <w:sz w:val="24"/>
          <w:szCs w:val="24"/>
          <w:highlight w:val="none"/>
        </w:rPr>
      </w:pPr>
    </w:p>
    <w:p>
      <w:pPr>
        <w:pStyle w:val="33"/>
        <w:ind w:left="0" w:leftChars="0" w:firstLine="0" w:firstLineChars="0"/>
        <w:jc w:val="center"/>
        <w:rPr>
          <w:rFonts w:hint="eastAsia" w:ascii="仿宋" w:hAnsi="仿宋" w:eastAsia="仿宋" w:cs="仿宋"/>
          <w:color w:val="FF0000"/>
          <w:sz w:val="21"/>
          <w:szCs w:val="21"/>
          <w:highlight w:val="none"/>
        </w:rPr>
      </w:pPr>
      <w:r>
        <w:rPr>
          <w:rFonts w:hint="eastAsia" w:ascii="仿宋" w:hAnsi="仿宋" w:eastAsia="仿宋" w:cs="仿宋"/>
          <w:b/>
          <w:bCs w:val="0"/>
          <w:color w:val="auto"/>
          <w:sz w:val="21"/>
          <w:szCs w:val="21"/>
          <w:highlight w:val="none"/>
        </w:rPr>
        <w:t>（请</w:t>
      </w:r>
      <w:r>
        <w:rPr>
          <w:rFonts w:hint="eastAsia" w:ascii="仿宋" w:hAnsi="仿宋" w:eastAsia="仿宋" w:cs="仿宋"/>
          <w:b/>
          <w:bCs w:val="0"/>
          <w:color w:val="auto"/>
          <w:sz w:val="21"/>
          <w:szCs w:val="21"/>
          <w:highlight w:val="none"/>
          <w:lang w:val="en-US" w:eastAsia="zh-CN"/>
        </w:rPr>
        <w:t>响应供应商</w:t>
      </w:r>
      <w:r>
        <w:rPr>
          <w:rFonts w:hint="eastAsia" w:ascii="仿宋" w:hAnsi="仿宋" w:eastAsia="仿宋" w:cs="仿宋"/>
          <w:b/>
          <w:bCs w:val="0"/>
          <w:color w:val="auto"/>
          <w:sz w:val="21"/>
          <w:szCs w:val="21"/>
          <w:highlight w:val="none"/>
        </w:rPr>
        <w:t>按照以下文件的要求格式、内容、顺序制作</w:t>
      </w:r>
      <w:r>
        <w:rPr>
          <w:rFonts w:hint="eastAsia" w:ascii="仿宋" w:hAnsi="仿宋" w:eastAsia="仿宋" w:cs="仿宋"/>
          <w:b/>
          <w:bCs w:val="0"/>
          <w:color w:val="auto"/>
          <w:sz w:val="21"/>
          <w:szCs w:val="21"/>
          <w:highlight w:val="none"/>
          <w:lang w:val="en-US" w:eastAsia="zh-CN"/>
        </w:rPr>
        <w:t>响应</w:t>
      </w:r>
      <w:r>
        <w:rPr>
          <w:rFonts w:hint="eastAsia" w:ascii="仿宋" w:hAnsi="仿宋" w:eastAsia="仿宋" w:cs="仿宋"/>
          <w:b/>
          <w:bCs w:val="0"/>
          <w:color w:val="auto"/>
          <w:sz w:val="21"/>
          <w:szCs w:val="21"/>
          <w:highlight w:val="none"/>
        </w:rPr>
        <w:t>文件，并请编制目录及页码。）</w:t>
      </w:r>
    </w:p>
    <w:p>
      <w:pPr>
        <w:pStyle w:val="33"/>
        <w:ind w:firstLine="400"/>
      </w:pPr>
    </w:p>
    <w:p>
      <w:pPr>
        <w:spacing w:line="360" w:lineRule="auto"/>
        <w:jc w:val="both"/>
        <w:rPr>
          <w:rFonts w:hint="eastAsia" w:ascii="仿宋" w:hAnsi="仿宋" w:eastAsia="仿宋" w:cs="仿宋"/>
          <w:b/>
          <w:color w:val="000000"/>
          <w:sz w:val="32"/>
          <w:szCs w:val="32"/>
          <w:highlight w:val="none"/>
          <w:lang w:val="en-US" w:eastAsia="zh-CN"/>
        </w:rPr>
      </w:pPr>
      <w:bookmarkStart w:id="3" w:name="_Toc97049462"/>
      <w:bookmarkStart w:id="4" w:name="_Toc97049463"/>
    </w:p>
    <w:p>
      <w:pPr>
        <w:spacing w:line="360" w:lineRule="auto"/>
        <w:jc w:val="center"/>
        <w:rPr>
          <w:rFonts w:hint="eastAsia" w:ascii="华文仿宋" w:hAnsi="华文仿宋" w:eastAsia="华文仿宋"/>
          <w:b/>
          <w:sz w:val="5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vertAlign w:val="baseline"/>
          <w:lang w:val="en-US" w:eastAsia="zh-CN"/>
        </w:rPr>
      </w:pPr>
      <w:r>
        <w:rPr>
          <w:rFonts w:hint="eastAsia" w:ascii="仿宋" w:hAnsi="仿宋" w:eastAsia="仿宋" w:cs="仿宋"/>
          <w:b/>
          <w:bCs/>
          <w:sz w:val="44"/>
          <w:szCs w:val="44"/>
          <w:vertAlign w:val="baseline"/>
          <w:lang w:val="en-US" w:eastAsia="zh-CN"/>
        </w:rPr>
        <w:t>医气正负压机组维保服务项目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vertAlign w:val="baseline"/>
          <w:lang w:val="en-US" w:eastAsia="zh-CN"/>
        </w:rPr>
      </w:pPr>
      <w:r>
        <w:rPr>
          <w:rFonts w:hint="eastAsia" w:ascii="仿宋" w:hAnsi="仿宋" w:eastAsia="仿宋" w:cs="仿宋"/>
          <w:b/>
          <w:bCs/>
          <w:sz w:val="44"/>
          <w:szCs w:val="44"/>
          <w:vertAlign w:val="baseline"/>
          <w:lang w:val="en-US" w:eastAsia="zh-CN"/>
        </w:rPr>
        <w:t>（第二次采购）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vertAlign w:val="baseline"/>
          <w:lang w:val="en-US" w:eastAsia="zh-CN"/>
        </w:rPr>
      </w:pPr>
      <w:r>
        <w:rPr>
          <w:rFonts w:hint="eastAsia" w:ascii="仿宋" w:hAnsi="仿宋" w:eastAsia="仿宋" w:cs="仿宋"/>
          <w:b/>
          <w:bCs/>
          <w:sz w:val="44"/>
          <w:szCs w:val="44"/>
          <w:vertAlign w:val="baseline"/>
          <w:lang w:val="en-US" w:eastAsia="zh-CN"/>
        </w:rPr>
        <w:t>（项目编号：ZCB-20240010）</w:t>
      </w: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响 应 文 件</w:t>
      </w:r>
    </w:p>
    <w:p>
      <w:pPr>
        <w:pStyle w:val="13"/>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(正本/副本）</w:t>
      </w:r>
    </w:p>
    <w:p>
      <w:pPr>
        <w:pStyle w:val="13"/>
        <w:spacing w:line="360" w:lineRule="auto"/>
        <w:jc w:val="center"/>
        <w:rPr>
          <w:rFonts w:ascii="华文仿宋" w:hAnsi="华文仿宋" w:eastAsia="华文仿宋" w:cs="宋体"/>
          <w:b/>
          <w:sz w:val="32"/>
          <w:szCs w:val="32"/>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bookmarkEnd w:id="3"/>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lang w:val="en-US" w:eastAsia="zh-CN"/>
        </w:rPr>
        <w:t>响应供应商</w:t>
      </w:r>
      <w:r>
        <w:rPr>
          <w:rFonts w:hint="eastAsia" w:ascii="仿宋" w:hAnsi="仿宋" w:eastAsia="仿宋" w:cs="仿宋"/>
          <w:b/>
          <w:color w:val="000000"/>
          <w:sz w:val="24"/>
          <w:szCs w:val="24"/>
          <w:highlight w:val="none"/>
        </w:rPr>
        <w:t>名称（盖章）：</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3"/>
        <w:pageBreakBefore w:val="0"/>
        <w:kinsoku/>
        <w:wordWrap/>
        <w:overflowPunct/>
        <w:topLinePunct w:val="0"/>
        <w:bidi w:val="0"/>
        <w:spacing w:line="360" w:lineRule="auto"/>
        <w:ind w:left="0" w:leftChars="0" w:right="0" w:rightChars="0" w:firstLine="1906" w:firstLineChars="791"/>
        <w:jc w:val="left"/>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授权代表</w:t>
      </w:r>
      <w:r>
        <w:rPr>
          <w:rFonts w:hint="eastAsia" w:ascii="仿宋" w:hAnsi="仿宋" w:eastAsia="仿宋" w:cs="仿宋"/>
          <w:b/>
          <w:color w:val="000000"/>
          <w:sz w:val="24"/>
          <w:szCs w:val="24"/>
          <w:highlight w:val="none"/>
        </w:rPr>
        <w:t>（签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日期：</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p>
    <w:p>
      <w:pPr>
        <w:pStyle w:val="5"/>
        <w:keepNext/>
        <w:keepLines/>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hint="eastAsia" w:ascii="仿宋" w:hAnsi="仿宋" w:eastAsia="仿宋" w:cs="仿宋"/>
        </w:rPr>
      </w:pPr>
      <w:r>
        <w:rPr>
          <w:rFonts w:hint="eastAsia" w:ascii="仿宋" w:hAnsi="仿宋" w:eastAsia="仿宋" w:cs="仿宋"/>
          <w:sz w:val="36"/>
          <w:szCs w:val="36"/>
        </w:rPr>
        <w:t>响应文件目录</w:t>
      </w: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p>
    <w:p>
      <w:pPr>
        <w:keepNext w:val="0"/>
        <w:keepLines w:val="0"/>
        <w:pageBreakBefore w:val="0"/>
        <w:widowControl/>
        <w:shd w:val="clear" w:color="auto"/>
        <w:kinsoku w:val="0"/>
        <w:wordWrap/>
        <w:overflowPunct/>
        <w:topLinePunct w:val="0"/>
        <w:autoSpaceDE w:val="0"/>
        <w:autoSpaceDN w:val="0"/>
        <w:bidi w:val="0"/>
        <w:adjustRightInd w:val="0"/>
        <w:snapToGrid w:val="0"/>
        <w:spacing w:line="240" w:lineRule="auto"/>
        <w:ind w:right="-65" w:rightChars="-31"/>
        <w:jc w:val="both"/>
        <w:textAlignment w:val="baseline"/>
        <w:rPr>
          <w:rFonts w:hint="eastAsia" w:ascii="仿宋" w:hAnsi="仿宋" w:eastAsia="仿宋" w:cs="仿宋"/>
          <w:sz w:val="24"/>
          <w:szCs w:val="36"/>
        </w:rPr>
      </w:pPr>
      <w:r>
        <w:rPr>
          <w:rFonts w:hint="eastAsia" w:ascii="仿宋" w:hAnsi="仿宋" w:eastAsia="仿宋" w:cs="仿宋"/>
          <w:sz w:val="24"/>
          <w:szCs w:val="24"/>
        </w:rPr>
        <w:t>一、报价</w:t>
      </w:r>
      <w:r>
        <w:rPr>
          <w:rFonts w:hint="eastAsia" w:ascii="仿宋" w:hAnsi="仿宋" w:eastAsia="仿宋" w:cs="仿宋"/>
          <w:sz w:val="24"/>
          <w:szCs w:val="36"/>
        </w:rPr>
        <w:t>一览表</w:t>
      </w:r>
      <w:r>
        <w:rPr>
          <w:rFonts w:hint="eastAsia" w:ascii="仿宋" w:hAnsi="仿宋" w:eastAsia="仿宋" w:cs="仿宋"/>
          <w:sz w:val="24"/>
          <w:szCs w:val="36"/>
          <w:lang w:val="en-US" w:eastAsia="zh-CN"/>
        </w:rPr>
        <w:t xml:space="preserve"> </w:t>
      </w:r>
      <w:r>
        <w:rPr>
          <w:rFonts w:hint="eastAsia" w:ascii="仿宋" w:hAnsi="仿宋" w:eastAsia="仿宋" w:cs="仿宋"/>
          <w:sz w:val="24"/>
          <w:szCs w:val="36"/>
        </w:rPr>
        <w:t>………………………………………………………</w:t>
      </w:r>
      <w:r>
        <w:rPr>
          <w:rFonts w:hint="eastAsia" w:ascii="仿宋" w:hAnsi="仿宋" w:eastAsia="仿宋" w:cs="仿宋"/>
          <w:kern w:val="2"/>
          <w:sz w:val="21"/>
          <w:szCs w:val="21"/>
          <w:lang w:val="en-US" w:eastAsia="zh-CN" w:bidi="ar-SA"/>
        </w:rPr>
        <w:t>………</w:t>
      </w:r>
      <w:r>
        <w:rPr>
          <w:rFonts w:hint="eastAsia" w:ascii="仿宋" w:hAnsi="仿宋" w:eastAsia="仿宋" w:cs="仿宋"/>
          <w:sz w:val="24"/>
          <w:szCs w:val="24"/>
        </w:rPr>
        <w:t>……</w:t>
      </w:r>
      <w:r>
        <w:rPr>
          <w:rFonts w:hint="eastAsia" w:ascii="仿宋" w:hAnsi="仿宋" w:eastAsia="仿宋" w:cs="仿宋"/>
          <w:sz w:val="24"/>
          <w:szCs w:val="36"/>
        </w:rPr>
        <w:t>第（  ）页</w:t>
      </w:r>
    </w:p>
    <w:p>
      <w:pPr>
        <w:keepNext w:val="0"/>
        <w:keepLines w:val="0"/>
        <w:pageBreakBefore w:val="0"/>
        <w:widowControl/>
        <w:shd w:val="clear" w:color="auto"/>
        <w:kinsoku w:val="0"/>
        <w:wordWrap/>
        <w:overflowPunct/>
        <w:topLinePunct w:val="0"/>
        <w:autoSpaceDE w:val="0"/>
        <w:autoSpaceDN w:val="0"/>
        <w:bidi w:val="0"/>
        <w:adjustRightInd w:val="0"/>
        <w:snapToGrid w:val="0"/>
        <w:spacing w:line="240" w:lineRule="auto"/>
        <w:ind w:right="-65" w:rightChars="-31"/>
        <w:jc w:val="both"/>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"http://192.168.70.199/seeyon/office/cache/20190929/-1981683210483646217/-1981683210483646217.html?rnd=94104.10036287415" </w:instrText>
      </w:r>
      <w:r>
        <w:rPr>
          <w:rFonts w:hint="eastAsia" w:ascii="仿宋" w:hAnsi="仿宋" w:eastAsia="仿宋" w:cs="仿宋"/>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rPr>
        <w:fldChar w:fldCharType="end"/>
      </w:r>
      <w:r>
        <w:rPr>
          <w:rFonts w:hint="eastAsia" w:ascii="仿宋" w:hAnsi="仿宋" w:eastAsia="仿宋" w:cs="仿宋"/>
          <w:sz w:val="24"/>
          <w:szCs w:val="24"/>
        </w:rPr>
        <w:t>资格审查</w:t>
      </w:r>
      <w:r>
        <w:rPr>
          <w:rFonts w:hint="eastAsia" w:ascii="仿宋" w:hAnsi="仿宋" w:eastAsia="仿宋" w:cs="仿宋"/>
          <w:sz w:val="24"/>
          <w:szCs w:val="24"/>
          <w:lang w:val="en-US" w:eastAsia="zh-CN"/>
        </w:rPr>
        <w:t>及符合性审查</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……第（  ）页</w:t>
      </w:r>
    </w:p>
    <w:p>
      <w:pPr>
        <w:pStyle w:val="33"/>
        <w:keepNext w:val="0"/>
        <w:keepLines w:val="0"/>
        <w:pageBreakBefore w:val="0"/>
        <w:widowControl/>
        <w:shd w:val="clear"/>
        <w:kinsoku w:val="0"/>
        <w:wordWrap/>
        <w:overflowPunct/>
        <w:topLinePunct w:val="0"/>
        <w:autoSpaceDE w:val="0"/>
        <w:autoSpaceDN w:val="0"/>
        <w:bidi w:val="0"/>
        <w:adjustRightInd w:val="0"/>
        <w:snapToGrid w:val="0"/>
        <w:spacing w:before="0" w:line="240" w:lineRule="auto"/>
        <w:ind w:right="-65" w:rightChars="-31" w:firstLine="480" w:firstLineChars="200"/>
        <w:textAlignment w:val="baseline"/>
        <w:rPr>
          <w:rFonts w:hint="eastAsia" w:ascii="仿宋" w:hAnsi="仿宋" w:eastAsia="仿宋" w:cs="仿宋"/>
          <w:sz w:val="24"/>
          <w:szCs w:val="36"/>
        </w:rPr>
      </w:pPr>
      <w:r>
        <w:rPr>
          <w:rFonts w:hint="eastAsia" w:ascii="仿宋" w:hAnsi="仿宋" w:eastAsia="仿宋" w:cs="仿宋"/>
          <w:sz w:val="24"/>
          <w:szCs w:val="36"/>
        </w:rPr>
        <w:t>（一）资格自查表………………………………………………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二</w:t>
      </w:r>
      <w:r>
        <w:rPr>
          <w:rFonts w:hint="eastAsia" w:ascii="仿宋" w:hAnsi="仿宋" w:eastAsia="仿宋" w:cs="仿宋"/>
          <w:sz w:val="24"/>
          <w:szCs w:val="36"/>
        </w:rPr>
        <w:t>）符合性自查表……………………………………………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三</w:t>
      </w:r>
      <w:r>
        <w:rPr>
          <w:rFonts w:hint="eastAsia" w:ascii="仿宋" w:hAnsi="仿宋" w:eastAsia="仿宋" w:cs="仿宋"/>
          <w:sz w:val="24"/>
          <w:szCs w:val="36"/>
        </w:rPr>
        <w:t>）资格审查</w:t>
      </w:r>
      <w:r>
        <w:rPr>
          <w:rFonts w:hint="eastAsia" w:ascii="仿宋" w:hAnsi="仿宋" w:eastAsia="仿宋" w:cs="仿宋"/>
          <w:sz w:val="24"/>
          <w:szCs w:val="36"/>
          <w:lang w:val="en-US" w:eastAsia="zh-CN"/>
        </w:rPr>
        <w:t>及符合性审查</w:t>
      </w:r>
      <w:r>
        <w:rPr>
          <w:rFonts w:hint="eastAsia" w:ascii="仿宋" w:hAnsi="仿宋" w:eastAsia="仿宋" w:cs="仿宋"/>
          <w:sz w:val="24"/>
          <w:szCs w:val="36"/>
        </w:rPr>
        <w:t>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1、营业执照副本或事业法人登记证等相关证照………………………………第（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2、建筑机电安装工程专业承包资质证书及《安全生产许可证》……………第（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3、《中华人民共和国特种设备制造许可证》…………………………………第（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4、法定代表人（负责人）身份证明书…………………………………………第（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5、授权委托书……………………………………………………………………第（  ）页</w:t>
      </w:r>
    </w:p>
    <w:p>
      <w:pPr>
        <w:keepNext w:val="0"/>
        <w:keepLines w:val="0"/>
        <w:pageBreakBefore w:val="0"/>
        <w:shd w:val="clear"/>
        <w:wordWrap/>
        <w:overflowPunct/>
        <w:topLinePunct w:val="0"/>
        <w:bidi w:val="0"/>
        <w:spacing w:line="240" w:lineRule="auto"/>
        <w:ind w:left="0" w:leftChars="0"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6、承诺函…………………………………………………………………………第（  ）页</w:t>
      </w:r>
    </w:p>
    <w:p>
      <w:pPr>
        <w:pStyle w:val="33"/>
        <w:keepNext w:val="0"/>
        <w:keepLines w:val="0"/>
        <w:pageBreakBefore w:val="0"/>
        <w:widowControl w:val="0"/>
        <w:kinsoku/>
        <w:wordWrap/>
        <w:overflowPunct/>
        <w:topLinePunct w:val="0"/>
        <w:autoSpaceDE/>
        <w:autoSpaceDN/>
        <w:bidi w:val="0"/>
        <w:adjustRightInd/>
        <w:snapToGrid/>
        <w:spacing w:before="0" w:line="240" w:lineRule="auto"/>
        <w:ind w:right="-65" w:rightChars="-31" w:firstLine="0" w:firstLineChars="0"/>
        <w:jc w:val="both"/>
        <w:textAlignment w:val="auto"/>
        <w:rPr>
          <w:rFonts w:hint="eastAsia" w:ascii="仿宋" w:hAnsi="仿宋" w:eastAsia="仿宋" w:cs="仿宋"/>
          <w:sz w:val="24"/>
          <w:szCs w:val="36"/>
        </w:rPr>
      </w:pPr>
      <w:r>
        <w:rPr>
          <w:rFonts w:hint="eastAsia" w:ascii="仿宋" w:hAnsi="仿宋" w:eastAsia="仿宋" w:cs="仿宋"/>
          <w:sz w:val="24"/>
          <w:szCs w:val="36"/>
        </w:rPr>
        <w:t>三、技术评审</w:t>
      </w:r>
      <w:r>
        <w:rPr>
          <w:rFonts w:hint="eastAsia" w:ascii="仿宋" w:hAnsi="仿宋" w:eastAsia="仿宋" w:cs="仿宋"/>
          <w:kern w:val="2"/>
          <w:sz w:val="21"/>
          <w:szCs w:val="21"/>
          <w:lang w:val="en-US" w:eastAsia="zh-CN" w:bidi="ar-SA"/>
        </w:rPr>
        <w:t>…</w:t>
      </w:r>
      <w:r>
        <w:rPr>
          <w:rFonts w:hint="eastAsia" w:ascii="仿宋" w:hAnsi="仿宋" w:eastAsia="仿宋" w:cs="仿宋"/>
          <w:snapToGrid w:val="0"/>
          <w:color w:val="000000"/>
          <w:kern w:val="0"/>
          <w:sz w:val="24"/>
          <w:szCs w:val="36"/>
        </w:rPr>
        <w:t>……………</w:t>
      </w:r>
      <w:r>
        <w:rPr>
          <w:rFonts w:hint="eastAsia" w:ascii="仿宋" w:hAnsi="仿宋" w:eastAsia="仿宋" w:cs="仿宋"/>
          <w:sz w:val="24"/>
          <w:szCs w:val="36"/>
        </w:rPr>
        <w:t>……………………………………………</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36"/>
        </w:rPr>
        <w:t>第（  ）页</w:t>
      </w:r>
    </w:p>
    <w:p>
      <w:pPr>
        <w:pStyle w:val="33"/>
        <w:keepNext w:val="0"/>
        <w:keepLines w:val="0"/>
        <w:pageBreakBefore w:val="0"/>
        <w:widowControl/>
        <w:shd w:val="clear"/>
        <w:kinsoku w:val="0"/>
        <w:wordWrap/>
        <w:overflowPunct/>
        <w:topLinePunct w:val="0"/>
        <w:autoSpaceDE w:val="0"/>
        <w:autoSpaceDN w:val="0"/>
        <w:bidi w:val="0"/>
        <w:adjustRightInd w:val="0"/>
        <w:snapToGrid w:val="0"/>
        <w:spacing w:line="240" w:lineRule="auto"/>
        <w:ind w:right="-65" w:rightChars="-31" w:firstLine="480" w:firstLineChars="200"/>
        <w:textAlignment w:val="baseline"/>
        <w:rPr>
          <w:rFonts w:hint="eastAsia" w:ascii="仿宋" w:hAnsi="仿宋" w:eastAsia="仿宋" w:cs="仿宋"/>
          <w:sz w:val="24"/>
          <w:szCs w:val="36"/>
        </w:rPr>
      </w:pPr>
      <w:r>
        <w:rPr>
          <w:rFonts w:hint="eastAsia" w:ascii="仿宋" w:hAnsi="仿宋" w:eastAsia="仿宋" w:cs="仿宋"/>
          <w:sz w:val="24"/>
          <w:szCs w:val="36"/>
        </w:rPr>
        <w:t>（一）技术评审自查表…………………………………………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（二）技术评审证明资料………………………………………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1、服务团队人员配备及经验证明资料…………………………………………第（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2、服务响应速度承诺函…………………………………………………………第（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3、维保服务方案…………………………………………………………………第（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4、应急预案………………………………………………………………………第（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5、质量保证措施…………………………………………………………………第（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lang w:val="en-US" w:eastAsia="zh-CN"/>
        </w:rPr>
      </w:pPr>
      <w:r>
        <w:rPr>
          <w:rFonts w:hint="eastAsia" w:ascii="仿宋" w:hAnsi="仿宋" w:eastAsia="仿宋" w:cs="仿宋"/>
          <w:kern w:val="2"/>
          <w:sz w:val="21"/>
          <w:szCs w:val="21"/>
          <w:lang w:val="en-US" w:eastAsia="zh-CN" w:bidi="ar-SA"/>
        </w:rPr>
        <w:t>6、安全生产措施…………………………………………………………………第（  ）页</w:t>
      </w:r>
    </w:p>
    <w:p>
      <w:pPr>
        <w:keepNext w:val="0"/>
        <w:keepLines w:val="0"/>
        <w:pageBreakBefore w:val="0"/>
        <w:shd w:val="clear" w:color="auto"/>
        <w:wordWrap/>
        <w:overflowPunct/>
        <w:topLinePunct w:val="0"/>
        <w:bidi w:val="0"/>
        <w:spacing w:line="240" w:lineRule="auto"/>
        <w:ind w:right="-65" w:rightChars="-31"/>
        <w:rPr>
          <w:rFonts w:hint="eastAsia" w:ascii="仿宋" w:hAnsi="仿宋" w:eastAsia="仿宋" w:cs="仿宋"/>
          <w:sz w:val="24"/>
          <w:szCs w:val="36"/>
        </w:rPr>
      </w:pPr>
      <w:r>
        <w:rPr>
          <w:rFonts w:hint="eastAsia" w:ascii="仿宋" w:hAnsi="仿宋" w:eastAsia="仿宋" w:cs="仿宋"/>
          <w:sz w:val="24"/>
          <w:szCs w:val="36"/>
          <w:lang w:val="en-US" w:eastAsia="zh-CN"/>
        </w:rPr>
        <w:t>四</w:t>
      </w:r>
      <w:r>
        <w:rPr>
          <w:rFonts w:hint="eastAsia" w:ascii="仿宋" w:hAnsi="仿宋" w:eastAsia="仿宋" w:cs="仿宋"/>
          <w:sz w:val="24"/>
          <w:szCs w:val="36"/>
        </w:rPr>
        <w:t>、商务评审</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w:t>
      </w:r>
      <w:r>
        <w:rPr>
          <w:rFonts w:hint="eastAsia" w:ascii="仿宋" w:hAnsi="仿宋" w:eastAsia="仿宋" w:cs="仿宋"/>
          <w:sz w:val="24"/>
          <w:szCs w:val="24"/>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（一）商务评审自查表…………………………………………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（二）商务评审证明资料………………………………………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widowControl w:val="0"/>
        <w:kinsoku/>
        <w:wordWrap/>
        <w:overflowPunct/>
        <w:topLinePunct w:val="0"/>
        <w:autoSpaceDE/>
        <w:autoSpaceDN/>
        <w:bidi w:val="0"/>
        <w:adjustRightInd/>
        <w:snapToGrid/>
        <w:spacing w:line="240" w:lineRule="auto"/>
        <w:ind w:right="-65" w:rightChars="-31" w:firstLine="630" w:firstLineChars="30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1、同类业绩及用户评价证明资料………………………………………………第（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2、管理体系认证情况证明资料…………………………………………………第（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3、安全事故指标考核承诺函……………………………………………………第（  ）页</w:t>
      </w:r>
    </w:p>
    <w:p>
      <w:pPr>
        <w:keepNext w:val="0"/>
        <w:keepLines w:val="0"/>
        <w:pageBreakBefore w:val="0"/>
        <w:shd w:val="clear" w:color="auto"/>
        <w:wordWrap/>
        <w:overflowPunct/>
        <w:topLinePunct w:val="0"/>
        <w:bidi w:val="0"/>
        <w:spacing w:line="240" w:lineRule="auto"/>
        <w:ind w:right="-65" w:rightChars="-31"/>
        <w:rPr>
          <w:rFonts w:hint="eastAsia" w:ascii="仿宋" w:hAnsi="仿宋" w:eastAsia="仿宋" w:cs="仿宋"/>
          <w:sz w:val="24"/>
          <w:szCs w:val="36"/>
          <w:lang w:val="en-US" w:eastAsia="zh-CN"/>
        </w:rPr>
      </w:pPr>
      <w:r>
        <w:rPr>
          <w:rFonts w:hint="eastAsia" w:ascii="仿宋" w:hAnsi="仿宋" w:eastAsia="仿宋" w:cs="仿宋"/>
          <w:sz w:val="24"/>
          <w:szCs w:val="36"/>
          <w:lang w:val="en-US" w:eastAsia="zh-CN"/>
        </w:rPr>
        <w:t>五、其他证明材料………………………………………………………</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36"/>
          <w:lang w:val="en-US" w:eastAsia="zh-CN"/>
        </w:rPr>
        <w:t>第（  ）页</w:t>
      </w:r>
    </w:p>
    <w:p>
      <w:pPr>
        <w:pStyle w:val="33"/>
        <w:shd w:val="clear"/>
        <w:ind w:firstLine="0" w:firstLineChars="0"/>
        <w:rPr>
          <w:rFonts w:hint="eastAsia" w:ascii="仿宋" w:hAnsi="仿宋" w:eastAsia="仿宋" w:cs="仿宋"/>
          <w:sz w:val="24"/>
        </w:rPr>
      </w:pPr>
    </w:p>
    <w:p>
      <w:pPr>
        <w:pStyle w:val="33"/>
        <w:shd w:val="clear"/>
        <w:ind w:firstLine="0" w:firstLineChars="0"/>
        <w:rPr>
          <w:rFonts w:hint="eastAsia" w:ascii="仿宋" w:hAnsi="仿宋" w:eastAsia="仿宋" w:cs="仿宋"/>
          <w:b/>
          <w:bCs/>
          <w:sz w:val="21"/>
          <w:szCs w:val="21"/>
        </w:rPr>
      </w:pPr>
      <w:r>
        <w:rPr>
          <w:rFonts w:hint="eastAsia" w:ascii="仿宋" w:hAnsi="仿宋" w:eastAsia="仿宋" w:cs="仿宋"/>
          <w:b/>
          <w:bCs/>
          <w:sz w:val="21"/>
          <w:szCs w:val="21"/>
        </w:rPr>
        <w:t>特别提示：</w:t>
      </w:r>
    </w:p>
    <w:p>
      <w:pPr>
        <w:pStyle w:val="33"/>
        <w:shd w:val="clear"/>
        <w:ind w:firstLine="0" w:firstLineChars="0"/>
        <w:rPr>
          <w:rFonts w:hint="eastAsia" w:ascii="仿宋" w:hAnsi="仿宋" w:eastAsia="仿宋" w:cs="仿宋"/>
          <w:sz w:val="21"/>
          <w:szCs w:val="21"/>
        </w:rPr>
      </w:pPr>
      <w:r>
        <w:rPr>
          <w:rFonts w:hint="eastAsia" w:ascii="仿宋" w:hAnsi="仿宋" w:eastAsia="仿宋" w:cs="仿宋"/>
          <w:sz w:val="21"/>
          <w:szCs w:val="21"/>
        </w:rPr>
        <w:t>1.请</w:t>
      </w:r>
      <w:r>
        <w:rPr>
          <w:rFonts w:hint="eastAsia" w:ascii="仿宋" w:hAnsi="仿宋" w:eastAsia="仿宋" w:cs="仿宋"/>
          <w:sz w:val="21"/>
          <w:szCs w:val="21"/>
          <w:lang w:eastAsia="zh-CN"/>
        </w:rPr>
        <w:t>响应供应商</w:t>
      </w:r>
      <w:r>
        <w:rPr>
          <w:rFonts w:hint="eastAsia" w:ascii="仿宋" w:hAnsi="仿宋" w:eastAsia="仿宋" w:cs="仿宋"/>
          <w:sz w:val="21"/>
          <w:szCs w:val="21"/>
        </w:rPr>
        <w:t>按照</w:t>
      </w:r>
      <w:r>
        <w:rPr>
          <w:rFonts w:hint="eastAsia" w:ascii="仿宋" w:hAnsi="仿宋" w:eastAsia="仿宋" w:cs="仿宋"/>
          <w:sz w:val="21"/>
          <w:szCs w:val="21"/>
          <w:lang w:val="en-US" w:eastAsia="zh-CN"/>
        </w:rPr>
        <w:t>本目录要求</w:t>
      </w:r>
      <w:r>
        <w:rPr>
          <w:rFonts w:hint="eastAsia" w:ascii="仿宋" w:hAnsi="仿宋" w:eastAsia="仿宋" w:cs="仿宋"/>
          <w:sz w:val="21"/>
          <w:szCs w:val="21"/>
        </w:rPr>
        <w:t>的格式、内容、顺序制作响应文件，并请</w:t>
      </w:r>
      <w:r>
        <w:rPr>
          <w:rFonts w:hint="eastAsia" w:ascii="仿宋" w:hAnsi="仿宋" w:eastAsia="仿宋" w:cs="仿宋"/>
          <w:b/>
          <w:bCs/>
          <w:sz w:val="21"/>
          <w:szCs w:val="21"/>
        </w:rPr>
        <w:t>编制目录及页码</w:t>
      </w:r>
      <w:r>
        <w:rPr>
          <w:rFonts w:hint="eastAsia" w:ascii="仿宋" w:hAnsi="仿宋" w:eastAsia="仿宋" w:cs="仿宋"/>
          <w:sz w:val="21"/>
          <w:szCs w:val="21"/>
        </w:rPr>
        <w:t>，否则可能影响对响应文件的评价。</w:t>
      </w:r>
    </w:p>
    <w:p>
      <w:pPr>
        <w:pStyle w:val="33"/>
        <w:shd w:val="clear"/>
        <w:ind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所递交的所有资料均应加盖</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公章。</w:t>
      </w:r>
    </w:p>
    <w:p>
      <w:pPr>
        <w:pStyle w:val="21"/>
        <w:spacing w:line="360" w:lineRule="auto"/>
        <w:rPr>
          <w:rFonts w:hint="eastAsia" w:ascii="仿宋" w:hAnsi="仿宋" w:eastAsia="仿宋" w:cs="仿宋"/>
          <w:sz w:val="24"/>
        </w:rPr>
        <w:sectPr>
          <w:pgSz w:w="11906" w:h="16838"/>
          <w:pgMar w:top="1440" w:right="1786"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rPr>
      </w:pPr>
    </w:p>
    <w:p>
      <w:pPr>
        <w:pStyle w:val="13"/>
        <w:pageBreakBefore w:val="0"/>
        <w:kinsoku/>
        <w:wordWrap/>
        <w:overflowPunct/>
        <w:topLinePunct w:val="0"/>
        <w:bidi w:val="0"/>
        <w:spacing w:line="360" w:lineRule="auto"/>
        <w:ind w:right="0" w:rightChars="0"/>
        <w:jc w:val="center"/>
        <w:rPr>
          <w:rFonts w:hint="eastAsia" w:ascii="仿宋" w:hAnsi="仿宋" w:eastAsia="仿宋" w:cs="仿宋"/>
          <w:b/>
          <w:bCs/>
          <w:color w:val="000000"/>
          <w:sz w:val="32"/>
          <w:szCs w:val="32"/>
          <w:highlight w:val="none"/>
        </w:rPr>
      </w:pPr>
      <w:r>
        <w:rPr>
          <w:rFonts w:hint="eastAsia" w:ascii="仿宋" w:hAnsi="仿宋" w:eastAsia="仿宋" w:cs="仿宋"/>
          <w:b w:val="0"/>
          <w:bCs w:val="0"/>
          <w:sz w:val="24"/>
          <w:lang w:val="zh-CN"/>
        </w:rPr>
        <w:fldChar w:fldCharType="end"/>
      </w:r>
      <w:bookmarkEnd w:id="4"/>
      <w:r>
        <w:rPr>
          <w:rFonts w:hint="eastAsia" w:ascii="仿宋" w:hAnsi="仿宋" w:eastAsia="仿宋" w:cs="仿宋"/>
          <w:b/>
          <w:bCs/>
          <w:sz w:val="40"/>
          <w:szCs w:val="40"/>
          <w:lang w:val="en-US" w:eastAsia="zh-CN"/>
        </w:rPr>
        <w:t>一、报价一览表</w:t>
      </w:r>
    </w:p>
    <w:tbl>
      <w:tblPr>
        <w:tblStyle w:val="26"/>
        <w:tblW w:w="10159" w:type="dxa"/>
        <w:jc w:val="center"/>
        <w:tblLayout w:type="autofit"/>
        <w:tblCellMar>
          <w:top w:w="0" w:type="dxa"/>
          <w:left w:w="108" w:type="dxa"/>
          <w:bottom w:w="0" w:type="dxa"/>
          <w:right w:w="108" w:type="dxa"/>
        </w:tblCellMar>
      </w:tblPr>
      <w:tblGrid>
        <w:gridCol w:w="2063"/>
        <w:gridCol w:w="3016"/>
        <w:gridCol w:w="1855"/>
        <w:gridCol w:w="3225"/>
      </w:tblGrid>
      <w:tr>
        <w:tblPrEx>
          <w:tblCellMar>
            <w:top w:w="0" w:type="dxa"/>
            <w:left w:w="108" w:type="dxa"/>
            <w:bottom w:w="0" w:type="dxa"/>
            <w:right w:w="108" w:type="dxa"/>
          </w:tblCellMar>
        </w:tblPrEx>
        <w:trPr>
          <w:trHeight w:val="789" w:hRule="atLeast"/>
          <w:jc w:val="center"/>
        </w:trPr>
        <w:tc>
          <w:tcPr>
            <w:tcW w:w="2063" w:type="dxa"/>
            <w:vAlign w:val="bottom"/>
          </w:tcPr>
          <w:p>
            <w:pPr>
              <w:keepNext w:val="0"/>
              <w:keepLines w:val="0"/>
              <w:suppressLineNumbers w:val="0"/>
              <w:spacing w:before="240" w:beforeAutospacing="0" w:after="0" w:afterAutospacing="0"/>
              <w:ind w:right="0" w:firstLine="1687" w:firstLineChars="70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val="en-US" w:eastAsia="zh-CN"/>
              </w:rPr>
              <w:t xml:space="preserve"> </w:t>
            </w:r>
            <w:r>
              <w:rPr>
                <w:rFonts w:hint="eastAsia" w:ascii="仿宋" w:hAnsi="仿宋" w:eastAsia="仿宋" w:cs="仿宋"/>
                <w:b/>
                <w:bCs/>
                <w:color w:val="000000"/>
                <w:sz w:val="24"/>
                <w:szCs w:val="32"/>
                <w:highlight w:val="none"/>
              </w:rPr>
              <w:t>项目名称：</w:t>
            </w:r>
          </w:p>
        </w:tc>
        <w:tc>
          <w:tcPr>
            <w:tcW w:w="8096"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color w:val="000000"/>
                <w:sz w:val="24"/>
                <w:szCs w:val="32"/>
                <w:highlight w:val="none"/>
              </w:rPr>
            </w:pPr>
            <w:r>
              <w:rPr>
                <w:rFonts w:hint="eastAsia" w:ascii="仿宋" w:hAnsi="仿宋" w:eastAsia="仿宋" w:cs="仿宋"/>
                <w:b/>
                <w:bCs/>
                <w:sz w:val="24"/>
                <w:szCs w:val="24"/>
                <w:vertAlign w:val="baseline"/>
                <w:lang w:val="en-US" w:eastAsia="zh-CN"/>
              </w:rPr>
              <w:t>中山大学孙逸仙纪念医院深汕中心医院医气正负压机组维保服务项目（项目编号：ZCB-20240010）</w:t>
            </w:r>
          </w:p>
        </w:tc>
      </w:tr>
      <w:tr>
        <w:tblPrEx>
          <w:tblCellMar>
            <w:top w:w="0" w:type="dxa"/>
            <w:left w:w="108" w:type="dxa"/>
            <w:bottom w:w="0" w:type="dxa"/>
            <w:right w:w="108" w:type="dxa"/>
          </w:tblCellMar>
        </w:tblPrEx>
        <w:trPr>
          <w:trHeight w:val="607" w:hRule="atLeast"/>
          <w:jc w:val="center"/>
        </w:trPr>
        <w:tc>
          <w:tcPr>
            <w:tcW w:w="2063" w:type="dxa"/>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eastAsia="zh-CN"/>
              </w:rPr>
              <w:t>响应</w:t>
            </w:r>
            <w:r>
              <w:rPr>
                <w:rFonts w:hint="eastAsia" w:ascii="仿宋" w:hAnsi="仿宋" w:eastAsia="仿宋" w:cs="仿宋"/>
                <w:b/>
                <w:bCs/>
                <w:color w:val="000000"/>
                <w:sz w:val="24"/>
                <w:szCs w:val="32"/>
                <w:highlight w:val="none"/>
                <w:lang w:val="en-US" w:eastAsia="zh-CN"/>
              </w:rPr>
              <w:t>供应商名称</w:t>
            </w:r>
            <w:r>
              <w:rPr>
                <w:rFonts w:hint="eastAsia" w:ascii="仿宋" w:hAnsi="仿宋" w:eastAsia="仿宋" w:cs="仿宋"/>
                <w:b/>
                <w:bCs/>
                <w:color w:val="000000"/>
                <w:sz w:val="24"/>
                <w:szCs w:val="32"/>
                <w:highlight w:val="none"/>
              </w:rPr>
              <w:t>：</w:t>
            </w:r>
          </w:p>
        </w:tc>
        <w:tc>
          <w:tcPr>
            <w:tcW w:w="3016"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eastAsia="zh-CN"/>
              </w:rPr>
              <w:t>响应</w:t>
            </w:r>
            <w:r>
              <w:rPr>
                <w:rFonts w:hint="eastAsia" w:ascii="仿宋" w:hAnsi="仿宋" w:eastAsia="仿宋" w:cs="仿宋"/>
                <w:b/>
                <w:bCs/>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2063" w:type="dxa"/>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联系人：</w:t>
            </w:r>
          </w:p>
        </w:tc>
        <w:tc>
          <w:tcPr>
            <w:tcW w:w="3016"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2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响应总报价（已含税）：</w:t>
            </w:r>
          </w:p>
        </w:tc>
        <w:tc>
          <w:tcPr>
            <w:tcW w:w="8096" w:type="dxa"/>
            <w:gridSpan w:val="3"/>
            <w:tcBorders>
              <w:top w:val="single" w:color="auto" w:sz="4" w:space="0"/>
              <w:left w:val="nil"/>
              <w:bottom w:val="single" w:color="auto" w:sz="4" w:space="0"/>
              <w:right w:val="nil"/>
            </w:tcBorders>
            <w:vAlign w:val="center"/>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b/>
                <w:bCs/>
                <w:sz w:val="24"/>
                <w:szCs w:val="24"/>
                <w:vertAlign w:val="baseline"/>
                <w:lang w:val="en-US" w:eastAsia="zh-CN"/>
              </w:rPr>
              <w:t>(小写)¥</w:t>
            </w:r>
            <w:r>
              <w:rPr>
                <w:rFonts w:hint="eastAsia" w:ascii="仿宋" w:hAnsi="仿宋" w:eastAsia="仿宋" w:cs="仿宋"/>
                <w:b/>
                <w:bCs/>
                <w:sz w:val="24"/>
                <w:szCs w:val="24"/>
                <w:vertAlign w:val="baseline"/>
                <w:lang w:val="en-US" w:eastAsia="zh-Hans"/>
              </w:rPr>
              <w:t>XXXXX</w:t>
            </w:r>
            <w:r>
              <w:rPr>
                <w:rFonts w:hint="eastAsia" w:ascii="仿宋" w:hAnsi="仿宋" w:eastAsia="仿宋" w:cs="仿宋"/>
                <w:b/>
                <w:bCs/>
                <w:sz w:val="24"/>
                <w:szCs w:val="24"/>
                <w:vertAlign w:val="baseline"/>
                <w:lang w:val="en-US" w:eastAsia="zh-CN"/>
              </w:rPr>
              <w:t>.</w:t>
            </w:r>
            <w:r>
              <w:rPr>
                <w:rFonts w:hint="eastAsia" w:ascii="仿宋" w:hAnsi="仿宋" w:eastAsia="仿宋" w:cs="仿宋"/>
                <w:b/>
                <w:bCs/>
                <w:sz w:val="24"/>
                <w:szCs w:val="24"/>
                <w:vertAlign w:val="baseline"/>
                <w:lang w:val="en-US" w:eastAsia="zh-Hans"/>
              </w:rPr>
              <w:t>XX</w:t>
            </w:r>
            <w:r>
              <w:rPr>
                <w:rFonts w:hint="eastAsia" w:ascii="仿宋" w:hAnsi="仿宋" w:eastAsia="仿宋" w:cs="仿宋"/>
                <w:b/>
                <w:bCs/>
                <w:sz w:val="24"/>
                <w:szCs w:val="24"/>
                <w:vertAlign w:val="baseline"/>
                <w:lang w:val="en-US" w:eastAsia="zh-CN"/>
              </w:rPr>
              <w:t>元；(大写)人民币</w:t>
            </w:r>
            <w:r>
              <w:rPr>
                <w:rFonts w:hint="eastAsia" w:ascii="仿宋" w:hAnsi="仿宋" w:eastAsia="仿宋" w:cs="仿宋"/>
                <w:b/>
                <w:bCs/>
                <w:sz w:val="24"/>
                <w:szCs w:val="24"/>
                <w:vertAlign w:val="baseline"/>
                <w:lang w:val="en-US" w:eastAsia="zh-Hans"/>
              </w:rPr>
              <w:t>XXXXXXX</w:t>
            </w:r>
          </w:p>
        </w:tc>
      </w:tr>
    </w:tbl>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 w:hAnsi="仿宋" w:eastAsia="仿宋" w:cs="仿宋"/>
          <w:b/>
          <w:bCs/>
          <w:sz w:val="24"/>
          <w:szCs w:val="24"/>
          <w:lang w:val="en-US" w:eastAsia="zh-CN"/>
        </w:rPr>
      </w:pP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sz w:val="24"/>
          <w:szCs w:val="24"/>
          <w:lang w:val="en-US" w:eastAsia="zh-CN"/>
        </w:rPr>
        <w:t>一、零配件更换服务报价详情</w:t>
      </w:r>
    </w:p>
    <w:tbl>
      <w:tblPr>
        <w:tblStyle w:val="26"/>
        <w:tblW w:w="10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3"/>
        <w:gridCol w:w="2417"/>
        <w:gridCol w:w="1767"/>
        <w:gridCol w:w="1207"/>
        <w:gridCol w:w="2038"/>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服务内容</w:t>
            </w:r>
          </w:p>
        </w:tc>
        <w:tc>
          <w:tcPr>
            <w:tcW w:w="2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零配件要求</w:t>
            </w:r>
          </w:p>
        </w:tc>
        <w:tc>
          <w:tcPr>
            <w:tcW w:w="20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color w:val="auto"/>
                <w:sz w:val="24"/>
                <w:szCs w:val="24"/>
                <w:lang w:val="en-US"/>
              </w:rPr>
            </w:pPr>
            <w:r>
              <w:rPr>
                <w:rFonts w:hint="eastAsia" w:ascii="仿宋" w:hAnsi="仿宋" w:eastAsia="仿宋" w:cs="仿宋"/>
                <w:b/>
                <w:bCs/>
                <w:i w:val="0"/>
                <w:iCs w:val="0"/>
                <w:color w:val="auto"/>
                <w:kern w:val="0"/>
                <w:sz w:val="24"/>
                <w:szCs w:val="24"/>
                <w:u w:val="none"/>
                <w:lang w:val="en-US" w:eastAsia="zh-CN" w:bidi="ar"/>
              </w:rPr>
              <w:t>单价限价</w:t>
            </w:r>
          </w:p>
        </w:tc>
        <w:tc>
          <w:tcPr>
            <w:tcW w:w="21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48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b/>
                <w:bCs/>
                <w:i w:val="0"/>
                <w:iCs w:val="0"/>
                <w:color w:val="000000"/>
                <w:sz w:val="24"/>
                <w:szCs w:val="24"/>
                <w:u w:val="none"/>
              </w:rPr>
            </w:pPr>
          </w:p>
        </w:tc>
        <w:tc>
          <w:tcPr>
            <w:tcW w:w="24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规格型号</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服务期内预估更换数量</w:t>
            </w:r>
          </w:p>
        </w:tc>
        <w:tc>
          <w:tcPr>
            <w:tcW w:w="203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color w:val="000000"/>
                <w:sz w:val="24"/>
                <w:szCs w:val="24"/>
                <w:lang w:val="en-US"/>
              </w:rPr>
            </w:pPr>
          </w:p>
        </w:tc>
        <w:tc>
          <w:tcPr>
            <w:tcW w:w="211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更换空气过滤器滤芯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89295976</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870元/（个</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54672654</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890元/（个·次)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更换油气分离器滤芯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54749247</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460元/（个·次)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更换润滑油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英格索兰专用</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2桶</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6530元/（桶·次)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FA190ID</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FA190IG</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FA190IH</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FA190IA</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更换机油过滤器</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更换油气分离器</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4600元/（个·次)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更换润滑油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5桶</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6500元/（桶·次)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更换细菌过滤器滤芯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EW140MV</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2380元/（个·次)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更换空气过滤器滤芯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更换皮带</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12条</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600元/（条·次)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元/（条·次)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更换逆止阀</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1480元/（个·次)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AC10210EP</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AC10210EH</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bl>
    <w:p>
      <w:pPr>
        <w:pStyle w:val="2"/>
        <w:numPr>
          <w:ilvl w:val="0"/>
          <w:numId w:val="0"/>
        </w:numPr>
        <w:ind w:leftChars="200"/>
        <w:rPr>
          <w:rFonts w:hint="default"/>
          <w:lang w:val="en-US" w:eastAsia="zh-CN"/>
        </w:rPr>
      </w:pP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二、设备带安装及管线铺设服务报价详情</w:t>
      </w:r>
    </w:p>
    <w:tbl>
      <w:tblPr>
        <w:tblStyle w:val="26"/>
        <w:tblW w:w="9884" w:type="dxa"/>
        <w:tblInd w:w="-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1599"/>
        <w:gridCol w:w="2700"/>
        <w:gridCol w:w="1267"/>
        <w:gridCol w:w="2017"/>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4"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序号</w:t>
            </w:r>
          </w:p>
        </w:tc>
        <w:tc>
          <w:tcPr>
            <w:tcW w:w="1599"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服务内容</w:t>
            </w:r>
          </w:p>
        </w:tc>
        <w:tc>
          <w:tcPr>
            <w:tcW w:w="270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项目内容描述</w:t>
            </w:r>
          </w:p>
        </w:tc>
        <w:tc>
          <w:tcPr>
            <w:tcW w:w="126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服务期内预估更换数量</w:t>
            </w:r>
          </w:p>
        </w:tc>
        <w:tc>
          <w:tcPr>
            <w:tcW w:w="201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单价限价</w:t>
            </w:r>
          </w:p>
        </w:tc>
        <w:tc>
          <w:tcPr>
            <w:tcW w:w="18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4" w:type="dxa"/>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eastAsia" w:ascii="仿宋" w:hAnsi="仿宋" w:eastAsia="仿宋" w:cs="仿宋"/>
                <w:sz w:val="24"/>
                <w:szCs w:val="24"/>
                <w:lang w:val="en-US" w:eastAsia="zh-CN" w:bidi="ar"/>
              </w:rPr>
            </w:pPr>
          </w:p>
        </w:tc>
        <w:tc>
          <w:tcPr>
            <w:tcW w:w="1599"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设备带安装</w:t>
            </w:r>
          </w:p>
        </w:tc>
        <w:tc>
          <w:tcPr>
            <w:tcW w:w="2700" w:type="dxa"/>
            <w:tcBorders>
              <w:top w:val="single" w:color="auto" w:sz="4" w:space="0"/>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780050"/>
                <w:sz w:val="24"/>
                <w:szCs w:val="24"/>
                <w:u w:val="none"/>
              </w:rPr>
            </w:pPr>
            <w:r>
              <w:rPr>
                <w:rFonts w:hint="eastAsia" w:ascii="仿宋" w:hAnsi="仿宋" w:eastAsia="仿宋" w:cs="仿宋"/>
                <w:i w:val="0"/>
                <w:iCs w:val="0"/>
                <w:color w:val="auto"/>
                <w:kern w:val="0"/>
                <w:sz w:val="24"/>
                <w:szCs w:val="24"/>
                <w:u w:val="none"/>
                <w:lang w:val="en-US" w:eastAsia="zh-CN" w:bidi="ar"/>
              </w:rPr>
              <w:t>1.设备带：QY3700(3米内)</w:t>
            </w:r>
          </w:p>
        </w:tc>
        <w:tc>
          <w:tcPr>
            <w:tcW w:w="1267"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25床</w:t>
            </w:r>
          </w:p>
        </w:tc>
        <w:tc>
          <w:tcPr>
            <w:tcW w:w="2017" w:type="dxa"/>
            <w:tcBorders>
              <w:top w:val="single" w:color="auto" w:sz="4" w:space="0"/>
              <w:left w:val="nil"/>
              <w:bottom w:val="nil"/>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1817" w:type="dxa"/>
            <w:tcBorders>
              <w:top w:val="single" w:color="auto" w:sz="4" w:space="0"/>
              <w:left w:val="nil"/>
              <w:bottom w:val="nil"/>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84" w:type="dxa"/>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2.气体终端：(氧气、负压)各1 套</w:t>
            </w:r>
          </w:p>
        </w:tc>
        <w:tc>
          <w:tcPr>
            <w:tcW w:w="126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c>
          <w:tcPr>
            <w:tcW w:w="18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exact"/>
        </w:trPr>
        <w:tc>
          <w:tcPr>
            <w:tcW w:w="484" w:type="dxa"/>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3.二三插座：白色(3个)</w:t>
            </w:r>
          </w:p>
        </w:tc>
        <w:tc>
          <w:tcPr>
            <w:tcW w:w="126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c>
          <w:tcPr>
            <w:tcW w:w="18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exact"/>
        </w:trPr>
        <w:tc>
          <w:tcPr>
            <w:tcW w:w="484" w:type="dxa"/>
            <w:tcBorders>
              <w:left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4.单控开关：白色(1个)</w:t>
            </w:r>
          </w:p>
        </w:tc>
        <w:tc>
          <w:tcPr>
            <w:tcW w:w="126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c>
          <w:tcPr>
            <w:tcW w:w="18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84" w:type="dxa"/>
            <w:tcBorders>
              <w:left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5.医用脱脂紫铜管：8*0.8/中、10*1.0</w:t>
            </w:r>
          </w:p>
        </w:tc>
        <w:tc>
          <w:tcPr>
            <w:tcW w:w="1267" w:type="dxa"/>
            <w:vMerge w:val="continue"/>
            <w:tcBorders>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2800元/(床·次)</w:t>
            </w:r>
          </w:p>
        </w:tc>
        <w:tc>
          <w:tcPr>
            <w:tcW w:w="1817"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元/(床·次)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4" w:type="dxa"/>
            <w:tcBorders>
              <w:left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numPr>
                <w:ilvl w:val="0"/>
                <w:numId w:val="0"/>
              </w:numPr>
              <w:suppressLineNumbers w:val="0"/>
              <w:jc w:val="both"/>
              <w:textAlignment w:val="top"/>
              <w:rPr>
                <w:rStyle w:val="66"/>
                <w:rFonts w:hint="eastAsia" w:ascii="仿宋" w:hAnsi="仿宋" w:eastAsia="仿宋" w:cs="仿宋"/>
                <w:sz w:val="24"/>
                <w:szCs w:val="24"/>
                <w:lang w:val="en-US" w:eastAsia="zh-CN" w:bidi="ar"/>
              </w:rPr>
            </w:pPr>
            <w:r>
              <w:rPr>
                <w:rStyle w:val="66"/>
                <w:rFonts w:hint="eastAsia" w:ascii="仿宋" w:hAnsi="仿宋" w:eastAsia="仿宋" w:cs="仿宋"/>
                <w:sz w:val="24"/>
                <w:szCs w:val="24"/>
                <w:lang w:val="en-US" w:eastAsia="zh-CN" w:bidi="ar"/>
              </w:rPr>
              <w:t>6.电源线：ZRBV-2.5mm</w:t>
            </w:r>
          </w:p>
          <w:p>
            <w:pPr>
              <w:keepNext w:val="0"/>
              <w:keepLines w:val="0"/>
              <w:widowControl/>
              <w:numPr>
                <w:ilvl w:val="0"/>
                <w:numId w:val="0"/>
              </w:numPr>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7.维修阀门：DG4(2个)</w:t>
            </w:r>
          </w:p>
        </w:tc>
        <w:tc>
          <w:tcPr>
            <w:tcW w:w="126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top"/>
              <w:rPr>
                <w:rFonts w:hint="eastAsia" w:ascii="仿宋" w:hAnsi="仿宋" w:eastAsia="仿宋" w:cs="仿宋"/>
                <w:i w:val="0"/>
                <w:iCs w:val="0"/>
                <w:color w:val="auto"/>
                <w:kern w:val="0"/>
                <w:sz w:val="24"/>
                <w:szCs w:val="24"/>
                <w:u w:val="none"/>
                <w:lang w:val="en-US" w:eastAsia="zh-CN" w:bidi="ar"/>
              </w:rPr>
            </w:pPr>
          </w:p>
        </w:tc>
        <w:tc>
          <w:tcPr>
            <w:tcW w:w="1817"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4" w:type="dxa"/>
            <w:tcBorders>
              <w:left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8.预留呼叫显示屏、分机等位置</w:t>
            </w:r>
          </w:p>
        </w:tc>
        <w:tc>
          <w:tcPr>
            <w:tcW w:w="126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top"/>
              <w:rPr>
                <w:rFonts w:hint="eastAsia" w:ascii="仿宋" w:hAnsi="仿宋" w:eastAsia="仿宋" w:cs="仿宋"/>
                <w:i w:val="0"/>
                <w:iCs w:val="0"/>
                <w:color w:val="auto"/>
                <w:kern w:val="0"/>
                <w:sz w:val="24"/>
                <w:szCs w:val="24"/>
                <w:u w:val="none"/>
                <w:lang w:val="en-US" w:eastAsia="zh-CN" w:bidi="ar"/>
              </w:rPr>
            </w:pPr>
          </w:p>
        </w:tc>
        <w:tc>
          <w:tcPr>
            <w:tcW w:w="1817"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exact"/>
        </w:trPr>
        <w:tc>
          <w:tcPr>
            <w:tcW w:w="484" w:type="dxa"/>
            <w:tcBorders>
              <w:left w:val="single" w:color="000000" w:sz="8" w:space="0"/>
              <w:bottom w:val="nil"/>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599" w:type="dxa"/>
            <w:vMerge w:val="continue"/>
            <w:tcBorders>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9.安装辅材</w:t>
            </w:r>
          </w:p>
        </w:tc>
        <w:tc>
          <w:tcPr>
            <w:tcW w:w="126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top"/>
              <w:rPr>
                <w:rFonts w:hint="eastAsia" w:ascii="仿宋" w:hAnsi="仿宋" w:eastAsia="仿宋" w:cs="仿宋"/>
                <w:i w:val="0"/>
                <w:iCs w:val="0"/>
                <w:color w:val="auto"/>
                <w:kern w:val="0"/>
                <w:sz w:val="24"/>
                <w:szCs w:val="24"/>
                <w:u w:val="none"/>
                <w:lang w:val="en-US" w:eastAsia="zh-CN" w:bidi="ar"/>
              </w:rPr>
            </w:pPr>
          </w:p>
        </w:tc>
        <w:tc>
          <w:tcPr>
            <w:tcW w:w="1817"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exact"/>
        </w:trPr>
        <w:tc>
          <w:tcPr>
            <w:tcW w:w="48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default" w:ascii="仿宋" w:hAnsi="仿宋" w:eastAsia="仿宋" w:cs="仿宋"/>
                <w:sz w:val="24"/>
                <w:szCs w:val="24"/>
                <w:lang w:val="en-US" w:eastAsia="zh-CN" w:bidi="ar"/>
              </w:rPr>
            </w:pPr>
            <w:r>
              <w:rPr>
                <w:rStyle w:val="65"/>
                <w:rFonts w:hint="eastAsia" w:ascii="仿宋" w:hAnsi="仿宋" w:eastAsia="仿宋" w:cs="仿宋"/>
                <w:sz w:val="24"/>
                <w:szCs w:val="24"/>
                <w:lang w:val="en-US" w:eastAsia="zh-CN" w:bidi="ar"/>
              </w:rPr>
              <w:t>2</w:t>
            </w:r>
          </w:p>
        </w:tc>
        <w:tc>
          <w:tcPr>
            <w:tcW w:w="159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270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Φ8*0.8</w:t>
            </w:r>
          </w:p>
        </w:tc>
        <w:tc>
          <w:tcPr>
            <w:tcW w:w="126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300米</w:t>
            </w:r>
          </w:p>
        </w:tc>
        <w:tc>
          <w:tcPr>
            <w:tcW w:w="201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36元/(米·次)</w:t>
            </w:r>
          </w:p>
        </w:tc>
        <w:tc>
          <w:tcPr>
            <w:tcW w:w="181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exact"/>
        </w:trPr>
        <w:tc>
          <w:tcPr>
            <w:tcW w:w="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default" w:ascii="仿宋" w:hAnsi="仿宋" w:eastAsia="仿宋" w:cs="仿宋"/>
                <w:sz w:val="24"/>
                <w:szCs w:val="24"/>
                <w:lang w:val="en-US" w:eastAsia="zh-CN" w:bidi="ar"/>
              </w:rPr>
            </w:pPr>
            <w:r>
              <w:rPr>
                <w:rStyle w:val="65"/>
                <w:rFonts w:hint="eastAsia" w:ascii="仿宋" w:hAnsi="仿宋" w:eastAsia="仿宋" w:cs="仿宋"/>
                <w:sz w:val="24"/>
                <w:szCs w:val="24"/>
                <w:lang w:val="en-US" w:eastAsia="zh-CN" w:bidi="ar"/>
              </w:rPr>
              <w:t>3</w:t>
            </w:r>
          </w:p>
        </w:tc>
        <w:tc>
          <w:tcPr>
            <w:tcW w:w="15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27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Φ10*1.0</w:t>
            </w:r>
          </w:p>
        </w:tc>
        <w:tc>
          <w:tcPr>
            <w:tcW w:w="12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200米</w:t>
            </w:r>
          </w:p>
        </w:tc>
        <w:tc>
          <w:tcPr>
            <w:tcW w:w="20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45元/(米·次)</w:t>
            </w:r>
          </w:p>
        </w:tc>
        <w:tc>
          <w:tcPr>
            <w:tcW w:w="18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exact"/>
        </w:trPr>
        <w:tc>
          <w:tcPr>
            <w:tcW w:w="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default" w:ascii="仿宋" w:hAnsi="仿宋" w:eastAsia="仿宋" w:cs="仿宋"/>
                <w:sz w:val="24"/>
                <w:szCs w:val="24"/>
                <w:lang w:val="en-US" w:eastAsia="zh-CN" w:bidi="ar"/>
              </w:rPr>
            </w:pPr>
            <w:r>
              <w:rPr>
                <w:rStyle w:val="65"/>
                <w:rFonts w:hint="eastAsia" w:ascii="仿宋" w:hAnsi="仿宋" w:eastAsia="仿宋" w:cs="仿宋"/>
                <w:sz w:val="24"/>
                <w:szCs w:val="24"/>
                <w:lang w:val="en-US" w:eastAsia="zh-CN" w:bidi="ar"/>
              </w:rPr>
              <w:t>4</w:t>
            </w:r>
          </w:p>
        </w:tc>
        <w:tc>
          <w:tcPr>
            <w:tcW w:w="15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27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Φ12*1.0</w:t>
            </w:r>
          </w:p>
        </w:tc>
        <w:tc>
          <w:tcPr>
            <w:tcW w:w="12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100米</w:t>
            </w:r>
          </w:p>
        </w:tc>
        <w:tc>
          <w:tcPr>
            <w:tcW w:w="20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53元/(米·次)</w:t>
            </w:r>
          </w:p>
        </w:tc>
        <w:tc>
          <w:tcPr>
            <w:tcW w:w="18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exact"/>
        </w:trPr>
        <w:tc>
          <w:tcPr>
            <w:tcW w:w="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default" w:ascii="仿宋" w:hAnsi="仿宋" w:eastAsia="仿宋" w:cs="仿宋"/>
                <w:sz w:val="24"/>
                <w:szCs w:val="24"/>
                <w:lang w:val="en-US" w:eastAsia="zh-CN" w:bidi="ar"/>
              </w:rPr>
            </w:pPr>
            <w:r>
              <w:rPr>
                <w:rStyle w:val="65"/>
                <w:rFonts w:hint="eastAsia" w:ascii="仿宋" w:hAnsi="仿宋" w:eastAsia="仿宋" w:cs="仿宋"/>
                <w:sz w:val="24"/>
                <w:szCs w:val="24"/>
                <w:lang w:val="en-US" w:eastAsia="zh-CN" w:bidi="ar"/>
              </w:rPr>
              <w:t>5</w:t>
            </w:r>
          </w:p>
        </w:tc>
        <w:tc>
          <w:tcPr>
            <w:tcW w:w="15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电源线铺设</w:t>
            </w:r>
          </w:p>
        </w:tc>
        <w:tc>
          <w:tcPr>
            <w:tcW w:w="27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ZRBV-2.5mm²</w:t>
            </w:r>
          </w:p>
        </w:tc>
        <w:tc>
          <w:tcPr>
            <w:tcW w:w="12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500米</w:t>
            </w:r>
          </w:p>
        </w:tc>
        <w:tc>
          <w:tcPr>
            <w:tcW w:w="20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3元/(米·次)</w:t>
            </w:r>
          </w:p>
        </w:tc>
        <w:tc>
          <w:tcPr>
            <w:tcW w:w="18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元/(米·次)</w:t>
            </w:r>
          </w:p>
        </w:tc>
      </w:tr>
    </w:tbl>
    <w:p>
      <w:pPr>
        <w:pStyle w:val="33"/>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1、此表是响应文件的必要组成文件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须按要求填写所有信息，不得随意更改本表格式。</w:t>
      </w:r>
    </w:p>
    <w:p>
      <w:pPr>
        <w:pStyle w:val="3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 xml:space="preserve"> 响应供应商必须对本项目的全部需求内容进行响应报价，且</w:t>
      </w:r>
      <w:r>
        <w:rPr>
          <w:rFonts w:hint="eastAsia" w:ascii="仿宋" w:hAnsi="仿宋" w:eastAsia="仿宋" w:cs="仿宋"/>
          <w:color w:val="auto"/>
          <w:sz w:val="21"/>
          <w:szCs w:val="21"/>
          <w:highlight w:val="none"/>
          <w:lang w:val="zh-CN" w:eastAsia="zh-CN"/>
        </w:rPr>
        <w:t>响应报价未超过本项目</w:t>
      </w:r>
      <w:r>
        <w:rPr>
          <w:rFonts w:hint="eastAsia" w:ascii="仿宋" w:hAnsi="仿宋" w:eastAsia="仿宋" w:cs="仿宋"/>
          <w:color w:val="auto"/>
          <w:sz w:val="21"/>
          <w:szCs w:val="21"/>
          <w:highlight w:val="none"/>
          <w:lang w:val="en-US" w:eastAsia="zh-CN"/>
        </w:rPr>
        <w:t>采购预算（最高限价）人民币265960元</w:t>
      </w: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en-US" w:eastAsia="zh-CN"/>
        </w:rPr>
        <w:t>响应供应商为完成本项目而可能产生的所有费用（包括但不限于安装配件的购买成本、运输费、人工费、管理费、应缴的税费等所有费用），均视为已包括在响应报价内。如有缺漏或超出采购预算（最高限价），将导致响应无效。总报价超出项目的最高限价，将作无效响应处理。</w:t>
      </w:r>
      <w:r>
        <w:rPr>
          <w:rFonts w:hint="eastAsia" w:ascii="仿宋" w:hAnsi="仿宋" w:eastAsia="仿宋" w:cs="仿宋"/>
          <w:color w:val="auto"/>
          <w:sz w:val="21"/>
          <w:szCs w:val="21"/>
          <w:highlight w:val="none"/>
          <w:lang w:val="zh-CN" w:eastAsia="zh-CN"/>
        </w:rPr>
        <w:t>如任一单项报价超出</w:t>
      </w:r>
      <w:r>
        <w:rPr>
          <w:rFonts w:hint="eastAsia" w:ascii="仿宋" w:hAnsi="仿宋" w:eastAsia="仿宋" w:cs="仿宋"/>
          <w:color w:val="auto"/>
          <w:sz w:val="21"/>
          <w:szCs w:val="21"/>
          <w:highlight w:val="none"/>
          <w:lang w:val="en-US" w:eastAsia="zh-CN"/>
        </w:rPr>
        <w:t>单价</w:t>
      </w:r>
      <w:r>
        <w:rPr>
          <w:rFonts w:hint="eastAsia" w:ascii="仿宋" w:hAnsi="仿宋" w:eastAsia="仿宋" w:cs="仿宋"/>
          <w:color w:val="auto"/>
          <w:sz w:val="21"/>
          <w:szCs w:val="21"/>
          <w:highlight w:val="none"/>
          <w:lang w:val="zh-CN" w:eastAsia="zh-CN"/>
        </w:rPr>
        <w:t>限价，将作无效</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val="zh-CN" w:eastAsia="zh-CN"/>
        </w:rPr>
        <w:t>处理。如有少报、漏报的单项报价，视为已包含在总报价内，如成交，采购人不再另行支付总报价以外的其他费用。</w:t>
      </w:r>
    </w:p>
    <w:p>
      <w:pPr>
        <w:pStyle w:val="3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3、报价有效期：自本项目响应文件接收截止日期起90个日历日。如成交，报价有效期将延至合同终止日为止。</w:t>
      </w:r>
    </w:p>
    <w:p>
      <w:pPr>
        <w:pStyle w:val="3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4、报价以人民币为货币单位。报价应为固定唯一值且不得为 0 或负数，否则将作无效响应处理。</w:t>
      </w:r>
    </w:p>
    <w:p>
      <w:pPr>
        <w:spacing w:line="24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24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24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5"/>
        <w:keepNext/>
        <w:keepLines/>
        <w:pageBreakBefore/>
        <w:widowControl w:val="0"/>
        <w:numPr>
          <w:ilvl w:val="0"/>
          <w:numId w:val="0"/>
        </w:numPr>
        <w:kinsoku/>
        <w:wordWrap/>
        <w:overflowPunct/>
        <w:topLinePunct w:val="0"/>
        <w:autoSpaceDE/>
        <w:autoSpaceDN/>
        <w:bidi w:val="0"/>
        <w:adjustRightInd w:val="0"/>
        <w:snapToGrid w:val="0"/>
        <w:spacing w:before="0" w:beforeLines="0" w:after="0" w:afterLines="0" w:line="416" w:lineRule="auto"/>
        <w:jc w:val="center"/>
        <w:textAlignment w:val="auto"/>
        <w:rPr>
          <w:rFonts w:hint="eastAsia" w:ascii="仿宋" w:hAnsi="仿宋" w:eastAsia="仿宋" w:cs="仿宋"/>
          <w:szCs w:val="40"/>
          <w:lang w:val="en-US" w:eastAsia="zh-CN"/>
        </w:rPr>
      </w:pPr>
      <w:r>
        <w:rPr>
          <w:rFonts w:hint="eastAsia" w:ascii="仿宋" w:hAnsi="仿宋" w:eastAsia="仿宋" w:cs="仿宋"/>
          <w:sz w:val="36"/>
          <w:szCs w:val="36"/>
        </w:rPr>
        <w:t>二、资格审查</w:t>
      </w:r>
      <w:r>
        <w:rPr>
          <w:rFonts w:hint="eastAsia" w:ascii="仿宋" w:hAnsi="仿宋" w:eastAsia="仿宋" w:cs="仿宋"/>
          <w:sz w:val="36"/>
          <w:szCs w:val="36"/>
          <w:lang w:val="en-US" w:eastAsia="zh-CN"/>
        </w:rPr>
        <w:t>及符合性审查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6"/>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7105"/>
        <w:gridCol w:w="1050"/>
        <w:gridCol w:w="14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评审内容</w:t>
            </w:r>
          </w:p>
        </w:tc>
        <w:tc>
          <w:tcPr>
            <w:tcW w:w="710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采购文件要求</w:t>
            </w:r>
          </w:p>
        </w:tc>
        <w:tc>
          <w:tcPr>
            <w:tcW w:w="105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自查结论</w:t>
            </w:r>
          </w:p>
        </w:tc>
        <w:tc>
          <w:tcPr>
            <w:tcW w:w="148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33" w:hRule="atLeast"/>
          <w:jc w:val="center"/>
        </w:trPr>
        <w:tc>
          <w:tcPr>
            <w:tcW w:w="589" w:type="dxa"/>
            <w:vMerge w:val="restart"/>
            <w:noWrap w:val="0"/>
            <w:vAlign w:val="center"/>
          </w:tcPr>
          <w:p>
            <w:pPr>
              <w:adjustRightInd w:val="0"/>
              <w:snapToGrid w:val="0"/>
              <w:ind w:right="78" w:rightChars="37"/>
              <w:jc w:val="left"/>
              <w:rPr>
                <w:rFonts w:hint="eastAsia" w:ascii="仿宋" w:hAnsi="仿宋" w:eastAsia="仿宋" w:cs="仿宋"/>
                <w:szCs w:val="21"/>
                <w:shd w:val="clear" w:color="auto" w:fill="FFFFFF"/>
              </w:rPr>
            </w:pPr>
            <w:r>
              <w:rPr>
                <w:rFonts w:hint="eastAsia" w:ascii="仿宋" w:hAnsi="仿宋" w:eastAsia="仿宋" w:cs="仿宋"/>
                <w:b/>
                <w:bCs/>
                <w:sz w:val="24"/>
                <w:szCs w:val="24"/>
                <w:lang w:val="en-US" w:eastAsia="zh-CN"/>
              </w:rPr>
              <w:t>资格条件</w:t>
            </w:r>
          </w:p>
        </w:tc>
        <w:tc>
          <w:tcPr>
            <w:tcW w:w="7105" w:type="dxa"/>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响应供应商应为中华人民共和国境内注册的具有独立承担民事责任能力的法人，且具备履行本项目所必需的资质、人员、设备和专业技术能力。</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供应商应提供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kern w:val="2"/>
                <w:sz w:val="24"/>
                <w:szCs w:val="24"/>
                <w:highlight w:val="yellow"/>
                <w:u w:val="none"/>
                <w:lang w:val="en-US" w:eastAsia="zh-CN" w:bidi="ar-SA"/>
              </w:rPr>
            </w:pPr>
            <w:r>
              <w:rPr>
                <w:rFonts w:hint="eastAsia" w:ascii="仿宋" w:hAnsi="仿宋" w:eastAsia="仿宋" w:cs="仿宋"/>
                <w:sz w:val="24"/>
                <w:szCs w:val="24"/>
                <w:lang w:val="en-US" w:eastAsia="zh-CN"/>
              </w:rPr>
              <w:t>2、响应供应商应提供有效的</w:t>
            </w:r>
            <w:r>
              <w:rPr>
                <w:rFonts w:hint="eastAsia" w:ascii="仿宋" w:hAnsi="仿宋" w:eastAsia="仿宋" w:cs="仿宋"/>
                <w:sz w:val="24"/>
                <w:szCs w:val="24"/>
                <w:lang w:val="zh-CN" w:eastAsia="zh-CN"/>
              </w:rPr>
              <w:t>建筑机电安装工程专业承包三级或以上</w:t>
            </w:r>
            <w:r>
              <w:rPr>
                <w:rFonts w:hint="eastAsia" w:ascii="仿宋" w:hAnsi="仿宋" w:eastAsia="仿宋" w:cs="仿宋"/>
                <w:sz w:val="24"/>
                <w:szCs w:val="24"/>
                <w:lang w:val="en-US" w:eastAsia="zh-CN"/>
              </w:rPr>
              <w:t>资质证书及《安全生产许可证》复印件并加盖公章。</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3、响应供应商提供有效的《中华人民共和国特种设备制造许可证》（压力管道安装GC2级或以上）复印件并加盖公章。</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4、响应供应商应出具承诺函。</w:t>
            </w:r>
          </w:p>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lang w:val="en-US" w:eastAsia="zh-CN"/>
              </w:rPr>
              <w:t>5、以上证明材料均需加盖响应供应商公章。</w:t>
            </w:r>
          </w:p>
        </w:tc>
        <w:tc>
          <w:tcPr>
            <w:tcW w:w="10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483"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jc w:val="center"/>
              <w:rPr>
                <w:rFonts w:hint="eastAsia" w:ascii="仿宋" w:hAnsi="仿宋" w:eastAsia="仿宋" w:cs="仿宋"/>
                <w:bCs/>
                <w:szCs w:val="21"/>
              </w:rPr>
            </w:pPr>
          </w:p>
        </w:tc>
        <w:tc>
          <w:tcPr>
            <w:tcW w:w="7105" w:type="dxa"/>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响应供应商</w:t>
            </w:r>
            <w:r>
              <w:rPr>
                <w:rFonts w:hint="eastAsia" w:ascii="仿宋" w:hAnsi="仿宋" w:eastAsia="仿宋" w:cs="仿宋"/>
                <w:sz w:val="24"/>
                <w:szCs w:val="24"/>
              </w:rPr>
              <w:t>没有被列入失信被执行人、重大税收违法案件当事人名单（即税收违法黑名单）、政府采购严重违法失信行为记录名单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或者曾有不良信用记录但已失效。</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lang w:val="en-US" w:eastAsia="zh-CN"/>
              </w:rPr>
              <w:t>响应供应商只需按采购文件要求提供承诺函，</w:t>
            </w:r>
            <w:r>
              <w:rPr>
                <w:rFonts w:hint="eastAsia" w:ascii="仿宋" w:hAnsi="仿宋" w:eastAsia="仿宋" w:cs="仿宋"/>
                <w:color w:val="000000"/>
                <w:sz w:val="24"/>
                <w:szCs w:val="24"/>
                <w:lang w:val="zh-CN" w:eastAsia="zh-CN"/>
              </w:rPr>
              <w:t>以</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lang w:val="zh-CN" w:eastAsia="zh-CN"/>
              </w:rPr>
              <w:t>于</w:t>
            </w:r>
            <w:r>
              <w:rPr>
                <w:rFonts w:hint="eastAsia" w:ascii="仿宋" w:hAnsi="仿宋" w:eastAsia="仿宋" w:cs="仿宋"/>
                <w:color w:val="000000"/>
                <w:sz w:val="24"/>
                <w:szCs w:val="24"/>
                <w:lang w:val="en-US" w:eastAsia="zh-CN"/>
              </w:rPr>
              <w:t>采购评审会议</w:t>
            </w:r>
            <w:r>
              <w:rPr>
                <w:rFonts w:hint="eastAsia" w:ascii="仿宋" w:hAnsi="仿宋" w:eastAsia="仿宋" w:cs="仿宋"/>
                <w:color w:val="000000"/>
                <w:sz w:val="24"/>
                <w:szCs w:val="24"/>
                <w:lang w:val="zh-CN" w:eastAsia="zh-CN"/>
              </w:rPr>
              <w:t>当天在“信用中国” (www.creditchina.gov.cn) 及中国政府采购网查询结果为准。</w:t>
            </w:r>
          </w:p>
        </w:tc>
        <w:tc>
          <w:tcPr>
            <w:tcW w:w="10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483"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jc w:val="center"/>
              <w:rPr>
                <w:rFonts w:hint="eastAsia" w:ascii="仿宋" w:hAnsi="仿宋" w:eastAsia="仿宋" w:cs="仿宋"/>
                <w:bCs/>
                <w:szCs w:val="21"/>
              </w:rPr>
            </w:pPr>
          </w:p>
        </w:tc>
        <w:tc>
          <w:tcPr>
            <w:tcW w:w="7105" w:type="dxa"/>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法定代表人或单位负责人为同一人或者存在直接控股、管理关系的不同响应单位，不得同时参加本项目采购活动。</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kern w:val="28"/>
                <w:sz w:val="24"/>
                <w:szCs w:val="24"/>
              </w:rPr>
            </w:pPr>
            <w:r>
              <w:rPr>
                <w:rFonts w:hint="eastAsia" w:ascii="仿宋" w:hAnsi="仿宋" w:eastAsia="仿宋" w:cs="仿宋"/>
                <w:sz w:val="24"/>
                <w:szCs w:val="24"/>
                <w:lang w:val="en-US" w:eastAsia="zh-CN"/>
              </w:rPr>
              <w:t>注：响应供应商出具承诺函并加盖公章。</w:t>
            </w:r>
          </w:p>
        </w:tc>
        <w:tc>
          <w:tcPr>
            <w:tcW w:w="10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483"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jc w:val="center"/>
              <w:rPr>
                <w:rFonts w:hint="eastAsia" w:ascii="仿宋" w:hAnsi="仿宋" w:eastAsia="仿宋" w:cs="仿宋"/>
                <w:bCs/>
                <w:szCs w:val="21"/>
              </w:rPr>
            </w:pPr>
          </w:p>
        </w:tc>
        <w:tc>
          <w:tcPr>
            <w:tcW w:w="7105" w:type="dxa"/>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本项目不接受联合体响应，</w:t>
            </w:r>
            <w:r>
              <w:rPr>
                <w:rFonts w:hint="eastAsia" w:ascii="仿宋" w:hAnsi="仿宋" w:eastAsia="仿宋" w:cs="仿宋"/>
                <w:sz w:val="24"/>
                <w:szCs w:val="24"/>
                <w:lang w:val="en-US" w:eastAsia="zh-CN"/>
              </w:rPr>
              <w:t>成交供应商不得以任何方式转包或分包本项目。</w:t>
            </w:r>
          </w:p>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注：响应供应商出具承诺函并加盖公章</w:t>
            </w:r>
          </w:p>
        </w:tc>
        <w:tc>
          <w:tcPr>
            <w:tcW w:w="10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483"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资格审核的重要内容之一，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响应供应商</w:t>
      </w:r>
      <w:r>
        <w:rPr>
          <w:rFonts w:hint="eastAsia" w:ascii="仿宋" w:hAnsi="仿宋" w:eastAsia="仿宋" w:cs="仿宋"/>
          <w:kern w:val="0"/>
          <w:sz w:val="21"/>
          <w:szCs w:val="21"/>
        </w:rPr>
        <w:t>须在“自查结论”栏勾选通过或不通过，在“证明资料”栏填写页码。</w:t>
      </w:r>
    </w:p>
    <w:p>
      <w:pPr>
        <w:pStyle w:val="33"/>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3"/>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）符合性自查表</w:t>
      </w:r>
    </w:p>
    <w:tbl>
      <w:tblPr>
        <w:tblStyle w:val="26"/>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45"/>
        <w:gridCol w:w="4551"/>
        <w:gridCol w:w="1123"/>
        <w:gridCol w:w="23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评审内容</w:t>
            </w:r>
          </w:p>
        </w:tc>
        <w:tc>
          <w:tcPr>
            <w:tcW w:w="4551" w:type="dxa"/>
            <w:noWrap w:val="0"/>
            <w:vAlign w:val="center"/>
          </w:tcPr>
          <w:p>
            <w:pPr>
              <w:ind w:firstLine="22" w:firstLineChars="9"/>
              <w:jc w:val="center"/>
              <w:rPr>
                <w:rFonts w:hint="eastAsia" w:ascii="仿宋" w:hAnsi="仿宋" w:eastAsia="仿宋" w:cs="仿宋"/>
                <w:b/>
                <w:bCs w:val="0"/>
                <w:sz w:val="24"/>
                <w:szCs w:val="24"/>
              </w:rPr>
            </w:pPr>
            <w:r>
              <w:rPr>
                <w:rFonts w:hint="eastAsia" w:ascii="仿宋" w:hAnsi="仿宋" w:eastAsia="仿宋" w:cs="仿宋"/>
                <w:b/>
                <w:bCs w:val="0"/>
                <w:sz w:val="24"/>
                <w:szCs w:val="24"/>
              </w:rPr>
              <w:t>评审要求</w:t>
            </w:r>
          </w:p>
        </w:tc>
        <w:tc>
          <w:tcPr>
            <w:tcW w:w="1123"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自查结论</w:t>
            </w:r>
          </w:p>
        </w:tc>
        <w:tc>
          <w:tcPr>
            <w:tcW w:w="2324" w:type="dxa"/>
            <w:noWrap w:val="0"/>
            <w:vAlign w:val="center"/>
          </w:tcPr>
          <w:p>
            <w:pPr>
              <w:ind w:right="-178" w:rightChars="-85"/>
              <w:jc w:val="center"/>
              <w:rPr>
                <w:rFonts w:hint="eastAsia" w:ascii="仿宋" w:hAnsi="仿宋" w:eastAsia="仿宋" w:cs="仿宋"/>
                <w:b/>
                <w:bCs w:val="0"/>
                <w:sz w:val="24"/>
                <w:szCs w:val="24"/>
              </w:rPr>
            </w:pPr>
            <w:r>
              <w:rPr>
                <w:rFonts w:hint="eastAsia" w:ascii="仿宋" w:hAnsi="仿宋" w:eastAsia="仿宋" w:cs="仿宋"/>
                <w:b/>
                <w:bCs w:val="0"/>
                <w:sz w:val="24"/>
                <w:szCs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响应文件按照采购文件要求签署、盖章</w:t>
            </w:r>
          </w:p>
        </w:tc>
        <w:tc>
          <w:tcPr>
            <w:tcW w:w="4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b w:val="0"/>
                <w:bCs/>
                <w:color w:val="000000"/>
                <w:sz w:val="24"/>
                <w:szCs w:val="24"/>
                <w:highlight w:val="none"/>
                <w:lang w:val="en-US" w:eastAsia="zh-CN"/>
              </w:rPr>
              <w:t>响应文件的每一页均需加盖响应供应商公章。</w:t>
            </w:r>
            <w:r>
              <w:rPr>
                <w:rFonts w:hint="eastAsia" w:ascii="仿宋" w:hAnsi="仿宋" w:eastAsia="仿宋" w:cs="仿宋"/>
                <w:b w:val="0"/>
                <w:bCs/>
                <w:color w:val="000000"/>
                <w:sz w:val="24"/>
                <w:szCs w:val="24"/>
                <w:highlight w:val="none"/>
              </w:rPr>
              <w:t>响应文件中的任何插字、涂改和增删，必须由</w:t>
            </w:r>
            <w:r>
              <w:rPr>
                <w:rFonts w:hint="eastAsia" w:ascii="仿宋" w:hAnsi="仿宋" w:eastAsia="仿宋" w:cs="仿宋"/>
                <w:b w:val="0"/>
                <w:bCs/>
                <w:color w:val="000000"/>
                <w:sz w:val="24"/>
                <w:szCs w:val="24"/>
                <w:highlight w:val="none"/>
                <w:lang w:val="en-US" w:eastAsia="zh-CN"/>
              </w:rPr>
              <w:t>响应供应商</w:t>
            </w:r>
            <w:r>
              <w:rPr>
                <w:rFonts w:hint="eastAsia" w:ascii="仿宋" w:hAnsi="仿宋" w:eastAsia="仿宋" w:cs="仿宋"/>
                <w:b w:val="0"/>
                <w:bCs/>
                <w:color w:val="000000"/>
                <w:sz w:val="24"/>
                <w:szCs w:val="24"/>
                <w:highlight w:val="none"/>
              </w:rPr>
              <w:t>法定代表人或经其正式授权的代表在修改处签字或盖章。</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bCs/>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《法定代表人（负责人）身份证明书》及《授权委托书》</w:t>
            </w:r>
          </w:p>
        </w:tc>
        <w:tc>
          <w:tcPr>
            <w:tcW w:w="4551" w:type="dxa"/>
            <w:noWrap w:val="0"/>
            <w:vAlign w:val="center"/>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《法定代表人（负责人）身份证明书》载明的法定代表人/负责人应当与</w:t>
            </w:r>
            <w:r>
              <w:rPr>
                <w:rFonts w:hint="eastAsia" w:ascii="仿宋" w:hAnsi="仿宋" w:eastAsia="仿宋" w:cs="仿宋"/>
                <w:sz w:val="24"/>
                <w:szCs w:val="24"/>
                <w:lang w:val="en-US" w:eastAsia="zh-CN"/>
              </w:rPr>
              <w:t>有效</w:t>
            </w:r>
            <w:r>
              <w:rPr>
                <w:rFonts w:hint="eastAsia" w:ascii="仿宋" w:hAnsi="仿宋" w:eastAsia="仿宋" w:cs="仿宋"/>
                <w:sz w:val="24"/>
                <w:szCs w:val="24"/>
              </w:rPr>
              <w:t>营业执照</w:t>
            </w:r>
            <w:r>
              <w:rPr>
                <w:rFonts w:hint="eastAsia" w:ascii="仿宋" w:hAnsi="仿宋" w:eastAsia="仿宋" w:cs="仿宋"/>
                <w:sz w:val="24"/>
                <w:szCs w:val="24"/>
                <w:lang w:val="en-US" w:eastAsia="zh-CN"/>
              </w:rPr>
              <w:t>或事业法人登记证等相关证照</w:t>
            </w:r>
            <w:r>
              <w:rPr>
                <w:rFonts w:hint="eastAsia" w:ascii="仿宋" w:hAnsi="仿宋" w:eastAsia="仿宋" w:cs="仿宋"/>
                <w:sz w:val="24"/>
                <w:szCs w:val="24"/>
              </w:rPr>
              <w:t>上的一致。</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若</w:t>
            </w:r>
            <w:r>
              <w:rPr>
                <w:rFonts w:hint="eastAsia" w:ascii="仿宋" w:hAnsi="仿宋" w:eastAsia="仿宋" w:cs="仿宋"/>
                <w:sz w:val="24"/>
                <w:szCs w:val="24"/>
                <w:lang w:val="en-US" w:eastAsia="zh-CN"/>
              </w:rPr>
              <w:t>响应供应商委派的参与本项目采购活动的</w:t>
            </w:r>
            <w:r>
              <w:rPr>
                <w:rFonts w:hint="eastAsia" w:ascii="仿宋" w:hAnsi="仿宋" w:eastAsia="仿宋" w:cs="仿宋"/>
                <w:sz w:val="24"/>
                <w:szCs w:val="24"/>
              </w:rPr>
              <w:t>代表不是法定代表人/负责人，还应提供《授权委托书》</w:t>
            </w:r>
            <w:r>
              <w:rPr>
                <w:rFonts w:hint="eastAsia" w:ascii="仿宋" w:hAnsi="仿宋" w:eastAsia="仿宋" w:cs="仿宋"/>
                <w:sz w:val="24"/>
                <w:szCs w:val="24"/>
                <w:lang w:val="en-US" w:eastAsia="zh-CN"/>
              </w:rPr>
              <w:t>并加盖公章</w:t>
            </w:r>
            <w:r>
              <w:rPr>
                <w:rFonts w:hint="eastAsia" w:ascii="仿宋" w:hAnsi="仿宋" w:eastAsia="仿宋" w:cs="仿宋"/>
                <w:sz w:val="24"/>
                <w:szCs w:val="24"/>
              </w:rPr>
              <w:t>。</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bCs/>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1745" w:type="dxa"/>
            <w:noWrap w:val="0"/>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响应报价</w:t>
            </w:r>
          </w:p>
        </w:tc>
        <w:tc>
          <w:tcPr>
            <w:tcW w:w="4551" w:type="dxa"/>
            <w:noWrap w:val="0"/>
            <w:vAlign w:val="top"/>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响应报价：</w:t>
            </w:r>
          </w:p>
          <w:p>
            <w:pPr>
              <w:spacing w:line="24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①</w:t>
            </w:r>
            <w:r>
              <w:rPr>
                <w:rFonts w:hint="eastAsia" w:ascii="仿宋" w:hAnsi="仿宋" w:eastAsia="仿宋" w:cs="仿宋"/>
                <w:sz w:val="24"/>
                <w:szCs w:val="24"/>
                <w:lang w:val="en-US" w:eastAsia="zh-CN"/>
              </w:rPr>
              <w:t>响应供应商对本项目的全部需求内容进行响应报价，且</w:t>
            </w:r>
            <w:r>
              <w:rPr>
                <w:rFonts w:hint="eastAsia" w:ascii="仿宋" w:hAnsi="仿宋" w:eastAsia="仿宋" w:cs="仿宋"/>
                <w:sz w:val="24"/>
                <w:szCs w:val="24"/>
                <w:lang w:val="zh-CN" w:eastAsia="zh-CN"/>
              </w:rPr>
              <w:t>响应报价未超过本项目</w:t>
            </w:r>
            <w:r>
              <w:rPr>
                <w:rFonts w:hint="eastAsia" w:ascii="仿宋" w:hAnsi="仿宋" w:eastAsia="仿宋" w:cs="仿宋"/>
                <w:sz w:val="24"/>
                <w:szCs w:val="24"/>
                <w:lang w:val="en-US" w:eastAsia="zh-CN"/>
              </w:rPr>
              <w:t>采购预算（最高限价）人民币265960元</w:t>
            </w:r>
            <w:r>
              <w:rPr>
                <w:rFonts w:hint="eastAsia" w:ascii="仿宋" w:hAnsi="仿宋" w:eastAsia="仿宋" w:cs="仿宋"/>
                <w:sz w:val="24"/>
                <w:szCs w:val="24"/>
                <w:lang w:val="zh-CN" w:eastAsia="zh-CN"/>
              </w:rPr>
              <w:t>。</w:t>
            </w:r>
          </w:p>
          <w:p>
            <w:pPr>
              <w:spacing w:line="24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②响应</w:t>
            </w:r>
            <w:r>
              <w:rPr>
                <w:rFonts w:hint="eastAsia" w:ascii="仿宋" w:hAnsi="仿宋" w:eastAsia="仿宋" w:cs="仿宋"/>
                <w:sz w:val="24"/>
                <w:szCs w:val="24"/>
                <w:lang w:val="en-US" w:eastAsia="zh-CN"/>
              </w:rPr>
              <w:t>报价以人民币为货币单位。响应报价为固定唯一值且不得为 0 或负数</w:t>
            </w:r>
            <w:r>
              <w:rPr>
                <w:rFonts w:hint="eastAsia" w:ascii="仿宋" w:hAnsi="仿宋" w:eastAsia="仿宋" w:cs="仿宋"/>
                <w:sz w:val="24"/>
                <w:szCs w:val="24"/>
                <w:lang w:val="zh-CN" w:eastAsia="zh-CN"/>
              </w:rPr>
              <w:t>。</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lang w:val="zh-CN" w:eastAsia="zh-CN"/>
              </w:rPr>
              <w:t>③响应报价不存在明显低于其他通过符合性审查响应</w:t>
            </w:r>
            <w:r>
              <w:rPr>
                <w:rFonts w:hint="eastAsia" w:ascii="仿宋" w:hAnsi="仿宋" w:eastAsia="仿宋" w:cs="仿宋"/>
                <w:sz w:val="24"/>
                <w:szCs w:val="24"/>
                <w:lang w:val="en-US" w:eastAsia="zh-CN"/>
              </w:rPr>
              <w:t>供应商的</w:t>
            </w:r>
            <w:r>
              <w:rPr>
                <w:rFonts w:hint="eastAsia" w:ascii="仿宋" w:hAnsi="仿宋" w:eastAsia="仿宋" w:cs="仿宋"/>
                <w:sz w:val="24"/>
                <w:szCs w:val="24"/>
                <w:lang w:val="zh-CN" w:eastAsia="zh-CN"/>
              </w:rPr>
              <w:t>报价，或者评审委员会认为</w:t>
            </w:r>
            <w:r>
              <w:rPr>
                <w:rFonts w:hint="eastAsia" w:ascii="仿宋" w:hAnsi="仿宋" w:eastAsia="仿宋" w:cs="仿宋"/>
                <w:sz w:val="24"/>
                <w:szCs w:val="24"/>
                <w:lang w:val="en-US" w:eastAsia="zh-CN"/>
              </w:rPr>
              <w:t>响应供应商</w:t>
            </w:r>
            <w:r>
              <w:rPr>
                <w:rFonts w:hint="eastAsia" w:ascii="仿宋" w:hAnsi="仿宋" w:eastAsia="仿宋" w:cs="仿宋"/>
                <w:sz w:val="24"/>
                <w:szCs w:val="24"/>
                <w:lang w:val="zh-CN" w:eastAsia="zh-CN"/>
              </w:rPr>
              <w:t>的报价明显低于其他通过符合性审查</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的报价</w:t>
            </w:r>
            <w:r>
              <w:rPr>
                <w:rFonts w:hint="eastAsia" w:ascii="仿宋" w:hAnsi="仿宋" w:eastAsia="仿宋" w:cs="仿宋"/>
                <w:sz w:val="24"/>
                <w:szCs w:val="24"/>
                <w:lang w:val="en-US" w:eastAsia="zh-CN"/>
              </w:rPr>
              <w:t>但响应供应商</w:t>
            </w:r>
            <w:r>
              <w:rPr>
                <w:rFonts w:hint="eastAsia" w:ascii="仿宋" w:hAnsi="仿宋" w:eastAsia="仿宋" w:cs="仿宋"/>
                <w:sz w:val="24"/>
                <w:szCs w:val="24"/>
                <w:lang w:val="zh-CN" w:eastAsia="zh-CN"/>
              </w:rPr>
              <w:t>能够提供</w:t>
            </w:r>
            <w:r>
              <w:rPr>
                <w:rFonts w:hint="eastAsia" w:ascii="仿宋" w:hAnsi="仿宋" w:eastAsia="仿宋" w:cs="仿宋"/>
                <w:sz w:val="24"/>
                <w:szCs w:val="24"/>
                <w:lang w:val="en-US" w:eastAsia="zh-CN"/>
              </w:rPr>
              <w:t>关于其报价不影响</w:t>
            </w:r>
            <w:r>
              <w:rPr>
                <w:rFonts w:hint="eastAsia" w:ascii="仿宋" w:hAnsi="仿宋" w:eastAsia="仿宋" w:cs="仿宋"/>
                <w:sz w:val="24"/>
                <w:szCs w:val="24"/>
                <w:lang w:val="zh-CN" w:eastAsia="zh-CN"/>
              </w:rPr>
              <w:t>其诚信履约</w:t>
            </w:r>
            <w:r>
              <w:rPr>
                <w:rFonts w:hint="eastAsia" w:ascii="仿宋" w:hAnsi="仿宋" w:eastAsia="仿宋" w:cs="仿宋"/>
                <w:sz w:val="24"/>
                <w:szCs w:val="24"/>
                <w:lang w:val="en-US" w:eastAsia="zh-CN"/>
              </w:rPr>
              <w:t>以及</w:t>
            </w:r>
            <w:r>
              <w:rPr>
                <w:rFonts w:hint="eastAsia" w:ascii="仿宋" w:hAnsi="仿宋" w:eastAsia="仿宋" w:cs="仿宋"/>
                <w:sz w:val="24"/>
                <w:szCs w:val="24"/>
                <w:lang w:val="zh-CN" w:eastAsia="zh-CN"/>
              </w:rPr>
              <w:t>不影响</w:t>
            </w:r>
            <w:r>
              <w:rPr>
                <w:rFonts w:hint="eastAsia" w:ascii="仿宋" w:hAnsi="仿宋" w:eastAsia="仿宋" w:cs="仿宋"/>
                <w:sz w:val="24"/>
                <w:szCs w:val="24"/>
                <w:lang w:val="en-US" w:eastAsia="zh-CN"/>
              </w:rPr>
              <w:t>履约</w:t>
            </w:r>
            <w:r>
              <w:rPr>
                <w:rFonts w:hint="eastAsia" w:ascii="仿宋" w:hAnsi="仿宋" w:eastAsia="仿宋" w:cs="仿宋"/>
                <w:sz w:val="24"/>
                <w:szCs w:val="24"/>
                <w:lang w:val="zh-CN" w:eastAsia="zh-CN"/>
              </w:rPr>
              <w:t>质量的书面说明等相关证明材料的。</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p>
            <w:pPr>
              <w:jc w:val="center"/>
              <w:rPr>
                <w:rFonts w:hint="eastAsia" w:ascii="仿宋" w:hAnsi="仿宋" w:eastAsia="仿宋" w:cs="仿宋"/>
                <w:sz w:val="24"/>
                <w:szCs w:val="24"/>
              </w:rPr>
            </w:pPr>
            <w:r>
              <w:rPr>
                <w:rFonts w:hint="eastAsia" w:ascii="仿宋" w:hAnsi="仿宋" w:eastAsia="仿宋" w:cs="仿宋"/>
                <w:sz w:val="24"/>
                <w:szCs w:val="24"/>
              </w:rPr>
              <w:t>《报价一览表》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响应有效期</w:t>
            </w:r>
          </w:p>
        </w:tc>
        <w:tc>
          <w:tcPr>
            <w:tcW w:w="4551"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r>
              <w:rPr>
                <w:rFonts w:hint="eastAsia" w:ascii="仿宋" w:hAnsi="仿宋" w:eastAsia="仿宋" w:cs="仿宋"/>
                <w:color w:val="000000"/>
                <w:sz w:val="24"/>
                <w:szCs w:val="24"/>
                <w:lang w:eastAsia="zh-CN"/>
              </w:rPr>
              <w:t>。</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pStyle w:val="33"/>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p>
            <w:pPr>
              <w:jc w:val="center"/>
              <w:rPr>
                <w:rFonts w:hint="eastAsia" w:ascii="仿宋" w:hAnsi="仿宋" w:eastAsia="仿宋" w:cs="仿宋"/>
                <w:sz w:val="24"/>
                <w:szCs w:val="24"/>
              </w:rPr>
            </w:pPr>
            <w:r>
              <w:rPr>
                <w:rFonts w:hint="eastAsia" w:ascii="仿宋" w:hAnsi="仿宋" w:eastAsia="仿宋" w:cs="仿宋"/>
                <w:sz w:val="24"/>
                <w:szCs w:val="24"/>
              </w:rPr>
              <w:t>《承诺函》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lang w:val="en-US" w:eastAsia="zh-CN"/>
              </w:rPr>
              <w:t>“★”号条款</w:t>
            </w:r>
            <w:r>
              <w:rPr>
                <w:rFonts w:hint="eastAsia" w:ascii="仿宋" w:hAnsi="仿宋" w:eastAsia="仿宋" w:cs="仿宋"/>
                <w:color w:val="000000"/>
                <w:sz w:val="24"/>
                <w:szCs w:val="24"/>
                <w:lang w:val="en-US" w:eastAsia="zh-CN"/>
              </w:rPr>
              <w:t>响应情况</w:t>
            </w:r>
          </w:p>
        </w:tc>
        <w:tc>
          <w:tcPr>
            <w:tcW w:w="4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shd w:val="clear"/>
                <w:lang w:val="en-US" w:eastAsia="zh-CN"/>
              </w:rPr>
              <w:t>响应供应商对</w:t>
            </w:r>
            <w:r>
              <w:rPr>
                <w:rFonts w:hint="default" w:ascii="仿宋" w:hAnsi="仿宋" w:eastAsia="仿宋" w:cs="仿宋"/>
                <w:color w:val="000000"/>
                <w:sz w:val="24"/>
                <w:szCs w:val="24"/>
                <w:shd w:val="clear"/>
                <w:lang w:val="en-US" w:eastAsia="zh-CN"/>
              </w:rPr>
              <w:t>“★”号条款</w:t>
            </w:r>
            <w:r>
              <w:rPr>
                <w:rFonts w:hint="eastAsia" w:ascii="仿宋" w:hAnsi="仿宋" w:eastAsia="仿宋" w:cs="仿宋"/>
                <w:color w:val="000000"/>
                <w:sz w:val="24"/>
                <w:szCs w:val="24"/>
                <w:shd w:val="clear"/>
                <w:lang w:val="en-US" w:eastAsia="zh-CN"/>
              </w:rPr>
              <w:t>的全部要求进行响应且响应内容</w:t>
            </w:r>
            <w:r>
              <w:rPr>
                <w:rFonts w:hint="default" w:ascii="仿宋" w:hAnsi="仿宋" w:eastAsia="仿宋" w:cs="仿宋"/>
                <w:color w:val="000000"/>
                <w:sz w:val="24"/>
                <w:szCs w:val="24"/>
                <w:shd w:val="clear"/>
                <w:lang w:val="en-US" w:eastAsia="zh-CN"/>
              </w:rPr>
              <w:t>符合</w:t>
            </w:r>
            <w:r>
              <w:rPr>
                <w:rFonts w:hint="eastAsia" w:ascii="仿宋" w:hAnsi="仿宋" w:eastAsia="仿宋" w:cs="仿宋"/>
                <w:color w:val="000000"/>
                <w:sz w:val="24"/>
                <w:szCs w:val="24"/>
                <w:shd w:val="clear"/>
                <w:lang w:val="en-US" w:eastAsia="zh-CN"/>
              </w:rPr>
              <w:t>要求</w:t>
            </w:r>
            <w:r>
              <w:rPr>
                <w:rFonts w:hint="default" w:ascii="仿宋" w:hAnsi="仿宋" w:eastAsia="仿宋" w:cs="仿宋"/>
                <w:color w:val="000000"/>
                <w:sz w:val="24"/>
                <w:szCs w:val="24"/>
                <w:shd w:val="clear"/>
                <w:lang w:val="en-US" w:eastAsia="zh-CN"/>
              </w:rPr>
              <w:t>。</w:t>
            </w:r>
            <w:r>
              <w:rPr>
                <w:rFonts w:hint="eastAsia" w:ascii="仿宋" w:hAnsi="仿宋" w:eastAsia="仿宋" w:cs="仿宋"/>
                <w:color w:val="000000"/>
                <w:sz w:val="24"/>
                <w:szCs w:val="24"/>
                <w:shd w:val="clear"/>
                <w:lang w:val="en-US" w:eastAsia="zh-CN"/>
              </w:rPr>
              <w:t>响应供应商</w:t>
            </w:r>
            <w:r>
              <w:rPr>
                <w:rFonts w:hint="default" w:ascii="仿宋" w:hAnsi="仿宋" w:eastAsia="仿宋" w:cs="仿宋"/>
                <w:color w:val="000000"/>
                <w:sz w:val="24"/>
                <w:szCs w:val="24"/>
                <w:shd w:val="clear"/>
                <w:lang w:val="en-US" w:eastAsia="zh-CN"/>
              </w:rPr>
              <w:t>必须</w:t>
            </w:r>
            <w:r>
              <w:rPr>
                <w:rFonts w:hint="eastAsia" w:ascii="仿宋" w:hAnsi="仿宋" w:eastAsia="仿宋" w:cs="仿宋"/>
                <w:color w:val="000000"/>
                <w:sz w:val="24"/>
                <w:szCs w:val="24"/>
                <w:shd w:val="clear"/>
                <w:lang w:val="en-US" w:eastAsia="zh-CN"/>
              </w:rPr>
              <w:t>如实提供承诺函及必要的证明文件</w:t>
            </w:r>
            <w:r>
              <w:rPr>
                <w:rFonts w:hint="default" w:ascii="仿宋" w:hAnsi="仿宋" w:eastAsia="仿宋" w:cs="仿宋"/>
                <w:color w:val="000000"/>
                <w:sz w:val="24"/>
                <w:szCs w:val="24"/>
                <w:shd w:val="clear"/>
                <w:lang w:val="en-US" w:eastAsia="zh-CN"/>
              </w:rPr>
              <w:t>，如</w:t>
            </w:r>
            <w:r>
              <w:rPr>
                <w:rFonts w:hint="eastAsia" w:ascii="仿宋" w:hAnsi="仿宋" w:eastAsia="仿宋" w:cs="仿宋"/>
                <w:color w:val="000000"/>
                <w:sz w:val="24"/>
                <w:szCs w:val="24"/>
                <w:shd w:val="clear"/>
                <w:lang w:val="en-US" w:eastAsia="zh-CN"/>
              </w:rPr>
              <w:t>确有特殊情况</w:t>
            </w:r>
            <w:r>
              <w:rPr>
                <w:rFonts w:hint="default" w:ascii="仿宋" w:hAnsi="仿宋" w:eastAsia="仿宋" w:cs="仿宋"/>
                <w:color w:val="000000"/>
                <w:sz w:val="24"/>
                <w:szCs w:val="24"/>
                <w:shd w:val="clear"/>
                <w:lang w:val="en-US" w:eastAsia="zh-CN"/>
              </w:rPr>
              <w:t>不能</w:t>
            </w:r>
            <w:r>
              <w:rPr>
                <w:rFonts w:hint="eastAsia" w:ascii="仿宋" w:hAnsi="仿宋" w:eastAsia="仿宋" w:cs="仿宋"/>
                <w:color w:val="000000"/>
                <w:sz w:val="24"/>
                <w:szCs w:val="24"/>
                <w:shd w:val="clear"/>
                <w:lang w:val="en-US" w:eastAsia="zh-CN"/>
              </w:rPr>
              <w:t>对</w:t>
            </w:r>
            <w:r>
              <w:rPr>
                <w:rFonts w:hint="default" w:ascii="仿宋" w:hAnsi="仿宋" w:eastAsia="仿宋" w:cs="仿宋"/>
                <w:color w:val="000000"/>
                <w:sz w:val="24"/>
                <w:szCs w:val="24"/>
                <w:shd w:val="clear"/>
                <w:lang w:val="en-US" w:eastAsia="zh-CN"/>
              </w:rPr>
              <w:t>“★”号条款</w:t>
            </w:r>
            <w:r>
              <w:rPr>
                <w:rFonts w:hint="eastAsia" w:ascii="仿宋" w:hAnsi="仿宋" w:eastAsia="仿宋" w:cs="仿宋"/>
                <w:color w:val="000000"/>
                <w:sz w:val="24"/>
                <w:szCs w:val="24"/>
                <w:shd w:val="clear"/>
                <w:lang w:val="en-US" w:eastAsia="zh-CN"/>
              </w:rPr>
              <w:t>的全部或部分内容提供承诺函及相关证明文件，需在响应文件中附上书面</w:t>
            </w:r>
            <w:r>
              <w:rPr>
                <w:rFonts w:hint="default" w:ascii="仿宋" w:hAnsi="仿宋" w:eastAsia="仿宋" w:cs="仿宋"/>
                <w:color w:val="000000"/>
                <w:sz w:val="24"/>
                <w:szCs w:val="24"/>
                <w:shd w:val="clear"/>
                <w:lang w:val="en-US" w:eastAsia="zh-CN"/>
              </w:rPr>
              <w:t>说明</w:t>
            </w:r>
            <w:r>
              <w:rPr>
                <w:rFonts w:hint="eastAsia" w:ascii="仿宋" w:hAnsi="仿宋" w:eastAsia="仿宋" w:cs="仿宋"/>
                <w:color w:val="000000"/>
                <w:sz w:val="24"/>
                <w:szCs w:val="24"/>
                <w:shd w:val="clear"/>
                <w:lang w:val="en-US" w:eastAsia="zh-CN"/>
              </w:rPr>
              <w:t>，由评审小组判定是否符合</w:t>
            </w:r>
            <w:r>
              <w:rPr>
                <w:rFonts w:hint="default" w:ascii="仿宋" w:hAnsi="仿宋" w:eastAsia="仿宋" w:cs="仿宋"/>
                <w:color w:val="000000"/>
                <w:sz w:val="24"/>
                <w:szCs w:val="24"/>
                <w:shd w:val="clear"/>
                <w:lang w:val="en-US" w:eastAsia="zh-CN"/>
              </w:rPr>
              <w:t>“★”号条款</w:t>
            </w:r>
            <w:r>
              <w:rPr>
                <w:rFonts w:hint="eastAsia" w:ascii="仿宋" w:hAnsi="仿宋" w:eastAsia="仿宋" w:cs="仿宋"/>
                <w:color w:val="000000"/>
                <w:sz w:val="24"/>
                <w:szCs w:val="24"/>
                <w:shd w:val="clear"/>
                <w:lang w:val="en-US" w:eastAsia="zh-CN"/>
              </w:rPr>
              <w:t>的要求</w:t>
            </w:r>
            <w:r>
              <w:rPr>
                <w:rFonts w:hint="default" w:ascii="仿宋" w:hAnsi="仿宋" w:eastAsia="仿宋" w:cs="仿宋"/>
                <w:color w:val="000000"/>
                <w:sz w:val="24"/>
                <w:szCs w:val="24"/>
                <w:shd w:val="clear"/>
                <w:lang w:val="en-US" w:eastAsia="zh-CN"/>
              </w:rPr>
              <w:t>。</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pStyle w:val="33"/>
              <w:ind w:left="36" w:leftChars="0" w:hanging="36" w:hangingChars="15"/>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见响应文件第（）页</w:t>
            </w:r>
          </w:p>
        </w:tc>
      </w:tr>
    </w:tbl>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备注：</w:t>
      </w:r>
    </w:p>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符合性审核的重要内容之一，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必须严格按照其内容及序列要求在响应文件中如实提供，对符合性证明文件的任何缺漏和不符合项将会直接导致响应</w:t>
      </w:r>
      <w:r>
        <w:rPr>
          <w:rFonts w:hint="eastAsia" w:ascii="仿宋" w:hAnsi="仿宋" w:eastAsia="仿宋" w:cs="仿宋"/>
          <w:sz w:val="21"/>
          <w:szCs w:val="21"/>
          <w:lang w:val="en-US" w:eastAsia="zh-CN"/>
        </w:rPr>
        <w:t>无效</w:t>
      </w:r>
      <w:r>
        <w:rPr>
          <w:rFonts w:hint="eastAsia" w:ascii="仿宋" w:hAnsi="仿宋" w:eastAsia="仿宋" w:cs="仿宋"/>
          <w:sz w:val="21"/>
          <w:szCs w:val="21"/>
        </w:rPr>
        <w:t>。</w:t>
      </w:r>
    </w:p>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响应供应商</w:t>
      </w:r>
      <w:r>
        <w:rPr>
          <w:rFonts w:hint="eastAsia" w:ascii="仿宋" w:hAnsi="仿宋" w:eastAsia="仿宋" w:cs="仿宋"/>
          <w:sz w:val="21"/>
          <w:szCs w:val="21"/>
        </w:rPr>
        <w:t>须在“自查结论”栏勾选通过或不通过，在“证明资料”栏填写页码。</w:t>
      </w:r>
    </w:p>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3、本自查表不得擅自删改。</w:t>
      </w:r>
    </w:p>
    <w:p>
      <w:pPr>
        <w:spacing w:line="24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24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24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kern w:val="0"/>
          <w:sz w:val="32"/>
          <w:szCs w:val="32"/>
          <w:lang w:val="en-US" w:eastAsia="zh-CN" w:bidi="ar-SA"/>
        </w:rPr>
        <w:t xml:space="preserve">（三） </w:t>
      </w:r>
      <w:bookmarkStart w:id="5" w:name="_Toc3602"/>
      <w:r>
        <w:rPr>
          <w:rFonts w:hint="eastAsia" w:ascii="仿宋" w:hAnsi="仿宋" w:eastAsia="仿宋" w:cs="仿宋"/>
          <w:b/>
          <w:bCs/>
          <w:kern w:val="0"/>
          <w:sz w:val="32"/>
          <w:szCs w:val="32"/>
          <w:lang w:val="en-US" w:eastAsia="zh-CN" w:bidi="ar-SA"/>
        </w:rPr>
        <w:t>资格审查及符合性审查证明资料</w:t>
      </w:r>
      <w:bookmarkEnd w:id="5"/>
    </w:p>
    <w:p>
      <w:pPr>
        <w:numPr>
          <w:ilvl w:val="0"/>
          <w:numId w:val="0"/>
        </w:numPr>
        <w:shd w:val="clear" w:color="auto" w:fill="FFFFFF"/>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、营业执照副本</w:t>
      </w:r>
      <w:r>
        <w:rPr>
          <w:rFonts w:hint="eastAsia" w:ascii="仿宋" w:hAnsi="仿宋" w:eastAsia="仿宋" w:cs="仿宋"/>
          <w:b/>
          <w:bCs/>
          <w:sz w:val="28"/>
          <w:szCs w:val="28"/>
          <w:lang w:val="en-US" w:eastAsia="zh-CN"/>
        </w:rPr>
        <w:t>或事业法人登记证等相关证照（</w:t>
      </w:r>
      <w:r>
        <w:rPr>
          <w:rFonts w:hint="eastAsia" w:ascii="仿宋" w:hAnsi="仿宋" w:eastAsia="仿宋" w:cs="仿宋"/>
          <w:b/>
          <w:bCs/>
          <w:sz w:val="28"/>
          <w:szCs w:val="28"/>
        </w:rPr>
        <w:t>复印件）</w:t>
      </w:r>
    </w:p>
    <w:p>
      <w:pPr>
        <w:shd w:val="clear" w:color="auto" w:fill="FFFFFF"/>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（如非“三证合一”证照，同时提供税务登记证副本复印件,加盖公章。分支机构参与响应的，需提供总公司/总所和分支机构的营业执照副本复印件加盖公章以及总公司/总所出具给分支机构的授权书原件。）</w:t>
      </w: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rPr>
          <w:rFonts w:hint="eastAsia"/>
        </w:rPr>
      </w:pPr>
    </w:p>
    <w:p>
      <w:pPr>
        <w:pStyle w:val="2"/>
        <w:rPr>
          <w:rFonts w:hint="eastAsia"/>
        </w:rPr>
      </w:pPr>
    </w:p>
    <w:p>
      <w:pPr>
        <w:numPr>
          <w:ilvl w:val="0"/>
          <w:numId w:val="0"/>
        </w:numPr>
        <w:shd w:val="clear" w:color="auto" w:fill="FFFFFF"/>
        <w:adjustRightInd w:val="0"/>
        <w:snapToGrid w:val="0"/>
        <w:spacing w:line="240" w:lineRule="auto"/>
        <w:ind w:leftChars="0"/>
        <w:jc w:val="center"/>
        <w:rPr>
          <w:rFonts w:hint="eastAsia" w:ascii="仿宋" w:hAnsi="仿宋" w:eastAsia="仿宋" w:cs="仿宋"/>
          <w:b/>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2、建筑机电安装工程专业承包资质证书及《安全生产许可证》</w:t>
      </w:r>
    </w:p>
    <w:p>
      <w:pPr>
        <w:shd w:val="clear" w:color="auto" w:fill="FFFFFF"/>
        <w:adjustRightInd w:val="0"/>
        <w:snapToGrid w:val="0"/>
        <w:spacing w:line="36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（复印件加盖公章）</w:t>
      </w:r>
    </w:p>
    <w:p>
      <w:pPr>
        <w:pStyle w:val="33"/>
        <w:ind w:firstLine="400"/>
        <w:rPr>
          <w:rFonts w:ascii="宋体" w:hAnsi="宋体" w:cs="宋体"/>
          <w:szCs w:val="21"/>
        </w:rPr>
      </w:pP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color w:val="auto"/>
          <w:kern w:val="2"/>
          <w:sz w:val="21"/>
          <w:szCs w:val="21"/>
          <w:highlight w:val="none"/>
          <w:lang w:val="en-US" w:eastAsia="zh-CN" w:bidi="ar-SA"/>
        </w:rPr>
        <w:t xml:space="preserve">                   </w:t>
      </w:r>
    </w:p>
    <w:p>
      <w:pPr>
        <w:rPr>
          <w:rFonts w:hint="eastAsia" w:ascii="仿宋" w:hAnsi="仿宋" w:eastAsia="仿宋" w:cs="仿宋"/>
          <w:color w:val="auto"/>
          <w:kern w:val="2"/>
          <w:sz w:val="21"/>
          <w:szCs w:val="21"/>
          <w:highlight w:val="none"/>
          <w:lang w:val="en-US" w:eastAsia="zh-CN" w:bidi="ar-SA"/>
        </w:rPr>
      </w:pPr>
    </w:p>
    <w:p>
      <w:pPr>
        <w:pStyle w:val="10"/>
        <w:rPr>
          <w:rFonts w:hint="eastAsia"/>
          <w:lang w:val="en-US" w:eastAsia="zh-CN"/>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rPr>
          <w:rFonts w:hint="eastAsia"/>
        </w:rPr>
      </w:pPr>
    </w:p>
    <w:p>
      <w:pPr>
        <w:pStyle w:val="2"/>
        <w:rPr>
          <w:rFonts w:hint="eastAsia"/>
        </w:rPr>
      </w:pPr>
    </w:p>
    <w:p>
      <w:pPr>
        <w:pStyle w:val="10"/>
        <w:rPr>
          <w:rFonts w:hint="eastAsia"/>
          <w:lang w:val="en-US" w:eastAsia="zh-CN"/>
        </w:rPr>
      </w:pPr>
    </w:p>
    <w:p>
      <w:pPr>
        <w:pStyle w:val="3"/>
        <w:tabs>
          <w:tab w:val="left" w:pos="900"/>
        </w:tabs>
        <w:spacing w:line="400" w:lineRule="exact"/>
        <w:ind w:left="0" w:leftChars="0" w:firstLine="0" w:firstLineChars="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3、《中华人民共和国特种设备制造许可证》</w:t>
      </w:r>
    </w:p>
    <w:p>
      <w:pPr>
        <w:shd w:val="clear" w:color="auto" w:fill="FFFFFF"/>
        <w:adjustRightInd w:val="0"/>
        <w:snapToGrid w:val="0"/>
        <w:spacing w:line="36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（复印件加盖公章）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
        <w:tabs>
          <w:tab w:val="left" w:pos="900"/>
        </w:tabs>
        <w:spacing w:line="400" w:lineRule="exact"/>
        <w:ind w:left="0" w:leftChars="0" w:firstLine="0" w:firstLineChars="0"/>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rPr>
        <w:t>法定代表人（负责人）身份证明书</w:t>
      </w:r>
    </w:p>
    <w:p>
      <w:pPr>
        <w:tabs>
          <w:tab w:val="left" w:pos="4602"/>
        </w:tabs>
        <w:ind w:left="391"/>
        <w:rPr>
          <w:rFonts w:hint="eastAsia" w:ascii="仿宋" w:hAnsi="仿宋" w:eastAsia="仿宋" w:cs="仿宋"/>
          <w:sz w:val="20"/>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w:t>
      </w:r>
      <w:r>
        <w:rPr>
          <w:rFonts w:hint="eastAsia" w:ascii="仿宋" w:hAnsi="仿宋" w:eastAsia="仿宋" w:cs="仿宋"/>
          <w:bCs/>
          <w:color w:val="000000"/>
          <w:sz w:val="28"/>
          <w:szCs w:val="28"/>
          <w:lang w:val="en-US" w:eastAsia="zh-CN"/>
        </w:rPr>
        <w:t>我司（单位）</w:t>
      </w:r>
      <w:r>
        <w:rPr>
          <w:rFonts w:hint="eastAsia" w:ascii="仿宋" w:hAnsi="仿宋" w:eastAsia="仿宋" w:cs="仿宋"/>
          <w:bCs/>
          <w:color w:val="000000"/>
          <w:sz w:val="28"/>
          <w:szCs w:val="28"/>
        </w:rPr>
        <w:t>法定代表人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负责人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，现任</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rPr>
        <w:t>职务，特此证明。</w:t>
      </w:r>
    </w:p>
    <w:p>
      <w:pPr>
        <w:pStyle w:val="3"/>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p>
    <w:p>
      <w:pPr>
        <w:tabs>
          <w:tab w:val="left" w:pos="4602"/>
        </w:tabs>
        <w:ind w:left="391"/>
        <w:rPr>
          <w:rFonts w:hint="eastAsia" w:ascii="仿宋" w:hAnsi="仿宋" w:eastAsia="仿宋" w:cs="仿宋"/>
          <w:sz w:val="20"/>
        </w:rPr>
      </w:pPr>
      <w:r>
        <w:rPr>
          <w:rFonts w:hint="eastAsia" w:ascii="仿宋" w:hAnsi="仿宋" w:eastAsia="仿宋" w:cs="仿宋"/>
          <w:sz w:val="20"/>
        </w:rPr>
        <w:tab/>
      </w:r>
    </w:p>
    <w:p>
      <w:pPr>
        <w:pStyle w:val="2"/>
        <w:ind w:left="0" w:leftChars="0" w:firstLine="0" w:firstLineChars="0"/>
        <w:jc w:val="center"/>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3437890" cy="1917700"/>
                <wp:effectExtent l="4445" t="4445" r="5715" b="20955"/>
                <wp:docPr id="6" name="矩形 6"/>
                <wp:cNvGraphicFramePr/>
                <a:graphic xmlns:a="http://schemas.openxmlformats.org/drawingml/2006/main">
                  <a:graphicData uri="http://schemas.microsoft.com/office/word/2010/wordprocessingShape">
                    <wps:wsp>
                      <wps:cNvSpPr/>
                      <wps:spPr>
                        <a:xfrm>
                          <a:off x="0" y="0"/>
                          <a:ext cx="3437890" cy="191770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 xml:space="preserve">居民身份证复印件（正面） </w:t>
                            </w:r>
                          </w:p>
                        </w:txbxContent>
                      </wps:txbx>
                      <wps:bodyPr lIns="0" tIns="0" rIns="0" bIns="0" upright="1"/>
                    </wps:wsp>
                  </a:graphicData>
                </a:graphic>
              </wp:inline>
            </w:drawing>
          </mc:Choice>
          <mc:Fallback>
            <w:pict>
              <v:rect id="_x0000_s1026" o:spid="_x0000_s1026" o:spt="1" style="height:151pt;width:270.7pt;" filled="f" stroked="t" coordsize="21600,21600" o:gfxdata="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uWivSAAAABQEAAA8AAAAAAAAAAQAgAAAA&#10;IgAAAGRycy9kb3ducmV2LnhtbFBLAQIUABQAAAAIAIdO4kBSdhjrEQIAADMEAAAOAAAAAAAAAAEA&#10;IAAAACEBAABkcnMvZTJvRG9jLnhtbFBLBQYAAAAABgAGAFkBAACkBQ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 xml:space="preserve">居民身份证复印件（正面） </w:t>
                      </w:r>
                    </w:p>
                  </w:txbxContent>
                </v:textbox>
                <w10:wrap type="none"/>
                <w10:anchorlock/>
              </v:rect>
            </w:pict>
          </mc:Fallback>
        </mc:AlternateContent>
      </w:r>
    </w:p>
    <w:p>
      <w:pPr>
        <w:pStyle w:val="2"/>
        <w:ind w:left="0" w:leftChars="0" w:firstLine="0" w:firstLineChars="0"/>
        <w:jc w:val="center"/>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3437890" cy="1917700"/>
                <wp:effectExtent l="4445" t="4445" r="5715" b="20955"/>
                <wp:docPr id="7" name="矩形 7"/>
                <wp:cNvGraphicFramePr/>
                <a:graphic xmlns:a="http://schemas.openxmlformats.org/drawingml/2006/main">
                  <a:graphicData uri="http://schemas.microsoft.com/office/word/2010/wordprocessingShape">
                    <wps:wsp>
                      <wps:cNvSpPr/>
                      <wps:spPr>
                        <a:xfrm>
                          <a:off x="0" y="0"/>
                          <a:ext cx="3437890" cy="191770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居民身份证复印件（</w:t>
                            </w:r>
                            <w:r>
                              <w:rPr>
                                <w:rFonts w:hint="eastAsia" w:cs="Times New Roman"/>
                                <w:kern w:val="2"/>
                                <w:sz w:val="24"/>
                                <w:szCs w:val="24"/>
                                <w:lang w:val="en-US" w:eastAsia="zh-CN" w:bidi="ar-SA"/>
                              </w:rPr>
                              <w:t>反</w:t>
                            </w:r>
                            <w:r>
                              <w:rPr>
                                <w:rFonts w:ascii="Times New Roman" w:hAnsi="Times New Roman" w:eastAsia="宋体" w:cs="Times New Roman"/>
                                <w:kern w:val="2"/>
                                <w:sz w:val="24"/>
                                <w:szCs w:val="24"/>
                                <w:lang w:val="en-US" w:eastAsia="zh-CN" w:bidi="ar-SA"/>
                              </w:rPr>
                              <w:t xml:space="preserve">面） </w:t>
                            </w:r>
                          </w:p>
                        </w:txbxContent>
                      </wps:txbx>
                      <wps:bodyPr lIns="0" tIns="0" rIns="0" bIns="0" upright="1"/>
                    </wps:wsp>
                  </a:graphicData>
                </a:graphic>
              </wp:inline>
            </w:drawing>
          </mc:Choice>
          <mc:Fallback>
            <w:pict>
              <v:rect id="_x0000_s1026" o:spid="_x0000_s1026" o:spt="1" style="height:151pt;width:270.7pt;" filled="f" stroked="t" coordsize="21600,21600" o:gfxdata="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uWivSAAAABQEAAA8AAAAAAAAAAQAgAAAA&#10;IgAAAGRycy9kb3ducmV2LnhtbFBLAQIUABQAAAAIAIdO4kDN5ElaEQIAADMEAAAOAAAAAAAAAAEA&#10;IAAAACEBAABkcnMvZTJvRG9jLnhtbFBLBQYAAAAABgAGAFkBAACkBQ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居民身份证复印件（</w:t>
                      </w:r>
                      <w:r>
                        <w:rPr>
                          <w:rFonts w:hint="eastAsia" w:cs="Times New Roman"/>
                          <w:kern w:val="2"/>
                          <w:sz w:val="24"/>
                          <w:szCs w:val="24"/>
                          <w:lang w:val="en-US" w:eastAsia="zh-CN" w:bidi="ar-SA"/>
                        </w:rPr>
                        <w:t>反</w:t>
                      </w:r>
                      <w:r>
                        <w:rPr>
                          <w:rFonts w:ascii="Times New Roman" w:hAnsi="Times New Roman" w:eastAsia="宋体" w:cs="Times New Roman"/>
                          <w:kern w:val="2"/>
                          <w:sz w:val="24"/>
                          <w:szCs w:val="24"/>
                          <w:lang w:val="en-US" w:eastAsia="zh-CN" w:bidi="ar-SA"/>
                        </w:rPr>
                        <w:t xml:space="preserve">面） </w:t>
                      </w:r>
                    </w:p>
                  </w:txbxContent>
                </v:textbox>
                <w10:wrap type="none"/>
                <w10:anchorlock/>
              </v:rect>
            </w:pict>
          </mc:Fallback>
        </mc:AlternateContent>
      </w:r>
    </w:p>
    <w:p>
      <w:pPr>
        <w:rPr>
          <w:rFonts w:hint="eastAsia" w:ascii="仿宋" w:hAnsi="仿宋" w:eastAsia="仿宋" w:cs="仿宋"/>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10"/>
        <w:rPr>
          <w:rFonts w:hint="eastAsia"/>
        </w:rPr>
      </w:pPr>
    </w:p>
    <w:p>
      <w:pPr>
        <w:pStyle w:val="3"/>
        <w:tabs>
          <w:tab w:val="left" w:pos="900"/>
        </w:tabs>
        <w:spacing w:line="400" w:lineRule="exact"/>
        <w:ind w:left="0" w:leftChars="0" w:firstLine="0" w:firstLineChars="0"/>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rPr>
        <w:t>授权委托书</w:t>
      </w:r>
    </w:p>
    <w:p>
      <w:pPr>
        <w:pStyle w:val="3"/>
        <w:tabs>
          <w:tab w:val="left" w:pos="900"/>
        </w:tabs>
        <w:spacing w:line="400" w:lineRule="exact"/>
        <w:ind w:left="0" w:leftChars="0" w:firstLine="0" w:firstLineChars="0"/>
        <w:jc w:val="center"/>
        <w:rPr>
          <w:rFonts w:hint="eastAsia" w:ascii="仿宋" w:hAnsi="仿宋" w:eastAsia="仿宋" w:cs="仿宋"/>
          <w:b/>
          <w:bCs/>
          <w:color w:val="000000"/>
          <w:sz w:val="24"/>
        </w:rPr>
      </w:pPr>
      <w:r>
        <w:rPr>
          <w:rFonts w:hint="eastAsia" w:ascii="仿宋" w:hAnsi="仿宋" w:eastAsia="仿宋" w:cs="仿宋"/>
          <w:b/>
          <w:bCs/>
          <w:sz w:val="24"/>
        </w:rPr>
        <w:t>（</w:t>
      </w:r>
      <w:r>
        <w:rPr>
          <w:rFonts w:hint="eastAsia" w:ascii="仿宋" w:hAnsi="仿宋" w:eastAsia="仿宋" w:cs="仿宋"/>
          <w:b/>
          <w:bCs/>
          <w:sz w:val="24"/>
          <w:szCs w:val="24"/>
        </w:rPr>
        <w:t>若</w:t>
      </w:r>
      <w:r>
        <w:rPr>
          <w:rFonts w:hint="eastAsia" w:ascii="仿宋" w:hAnsi="仿宋" w:eastAsia="仿宋" w:cs="仿宋"/>
          <w:b/>
          <w:bCs/>
          <w:sz w:val="24"/>
          <w:szCs w:val="24"/>
          <w:lang w:val="en-US" w:eastAsia="zh-CN"/>
        </w:rPr>
        <w:t>响应供应商委派的参与本项目采购活动的</w:t>
      </w:r>
      <w:r>
        <w:rPr>
          <w:rFonts w:hint="eastAsia" w:ascii="仿宋" w:hAnsi="仿宋" w:eastAsia="仿宋" w:cs="仿宋"/>
          <w:b/>
          <w:bCs/>
          <w:sz w:val="24"/>
          <w:szCs w:val="24"/>
        </w:rPr>
        <w:t>代表不是法定代表人/负责人，</w:t>
      </w:r>
      <w:r>
        <w:rPr>
          <w:rFonts w:hint="eastAsia" w:ascii="仿宋" w:hAnsi="仿宋" w:eastAsia="仿宋" w:cs="仿宋"/>
          <w:b/>
          <w:bCs/>
          <w:sz w:val="24"/>
          <w:szCs w:val="24"/>
          <w:lang w:val="en-US" w:eastAsia="zh-CN"/>
        </w:rPr>
        <w:t>需</w:t>
      </w:r>
      <w:r>
        <w:rPr>
          <w:rFonts w:hint="eastAsia" w:ascii="仿宋" w:hAnsi="仿宋" w:eastAsia="仿宋" w:cs="仿宋"/>
          <w:b/>
          <w:bCs/>
          <w:sz w:val="24"/>
          <w:szCs w:val="24"/>
        </w:rPr>
        <w:t>提供《授权委托书》</w:t>
      </w:r>
      <w:r>
        <w:rPr>
          <w:rFonts w:hint="eastAsia" w:ascii="仿宋" w:hAnsi="仿宋" w:eastAsia="仿宋" w:cs="仿宋"/>
          <w:b/>
          <w:bCs/>
          <w:sz w:val="24"/>
          <w:szCs w:val="24"/>
          <w:lang w:val="en-US" w:eastAsia="zh-CN"/>
        </w:rPr>
        <w:t>并加盖公章</w:t>
      </w:r>
      <w:r>
        <w:rPr>
          <w:rFonts w:hint="eastAsia" w:ascii="仿宋" w:hAnsi="仿宋" w:eastAsia="仿宋" w:cs="仿宋"/>
          <w:b/>
          <w:bCs/>
          <w:sz w:val="24"/>
          <w:szCs w:val="24"/>
        </w:rPr>
        <w:t>。</w:t>
      </w:r>
      <w:r>
        <w:rPr>
          <w:rFonts w:hint="eastAsia" w:ascii="仿宋" w:hAnsi="仿宋" w:eastAsia="仿宋" w:cs="仿宋"/>
          <w:b/>
          <w:bCs/>
          <w:sz w:val="24"/>
        </w:rPr>
        <w:t>)</w:t>
      </w:r>
    </w:p>
    <w:p>
      <w:pPr>
        <w:pStyle w:val="3"/>
        <w:tabs>
          <w:tab w:val="left" w:pos="900"/>
        </w:tabs>
        <w:spacing w:line="400" w:lineRule="exact"/>
        <w:rPr>
          <w:rFonts w:hint="eastAsia" w:ascii="仿宋" w:hAnsi="仿宋" w:eastAsia="仿宋" w:cs="仿宋"/>
          <w:bCs/>
          <w:color w:val="000000"/>
          <w:sz w:val="24"/>
        </w:rPr>
      </w:pPr>
    </w:p>
    <w:p>
      <w:pPr>
        <w:pStyle w:val="3"/>
        <w:tabs>
          <w:tab w:val="left" w:pos="900"/>
        </w:tabs>
        <w:adjustRightInd w:val="0"/>
        <w:snapToGrid w:val="0"/>
        <w:spacing w:line="360" w:lineRule="auto"/>
        <w:ind w:left="0" w:leftChars="0" w:firstLine="0" w:firstLineChars="0"/>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keepNext w:val="0"/>
        <w:keepLines w:val="0"/>
        <w:pageBreakBefore w:val="0"/>
        <w:widowControl w:val="0"/>
        <w:numPr>
          <w:ilvl w:val="-1"/>
          <w:numId w:val="0"/>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兹</w:t>
      </w:r>
      <w:r>
        <w:rPr>
          <w:rFonts w:hint="eastAsia" w:ascii="仿宋" w:hAnsi="仿宋" w:eastAsia="仿宋" w:cs="仿宋"/>
          <w:bCs/>
          <w:color w:val="000000"/>
          <w:sz w:val="28"/>
          <w:szCs w:val="28"/>
        </w:rPr>
        <w:t>授权</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i w:val="0"/>
          <w:iCs w:val="0"/>
          <w:color w:val="000000"/>
          <w:sz w:val="28"/>
          <w:szCs w:val="28"/>
          <w:u w:val="none"/>
          <w:lang w:val="en-US" w:eastAsia="zh-CN"/>
        </w:rPr>
        <w:t>，</w:t>
      </w:r>
      <w:r>
        <w:rPr>
          <w:rFonts w:hint="eastAsia" w:ascii="仿宋" w:hAnsi="仿宋" w:eastAsia="仿宋" w:cs="仿宋"/>
          <w:bCs/>
          <w:color w:val="000000"/>
          <w:sz w:val="28"/>
          <w:szCs w:val="28"/>
          <w:u w:val="none"/>
        </w:rPr>
        <w:t>职务</w:t>
      </w:r>
      <w:r>
        <w:rPr>
          <w:rFonts w:hint="eastAsia" w:ascii="仿宋" w:hAnsi="仿宋" w:eastAsia="仿宋" w:cs="仿宋"/>
          <w:bCs/>
          <w:color w:val="000000"/>
          <w:sz w:val="28"/>
          <w:szCs w:val="28"/>
          <w:u w:val="none"/>
          <w:lang w:eastAsia="zh-CN"/>
        </w:rPr>
        <w:t>：</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的合法代理人，就</w:t>
      </w:r>
      <w:r>
        <w:rPr>
          <w:rFonts w:hint="eastAsia" w:ascii="仿宋" w:hAnsi="仿宋" w:eastAsia="仿宋" w:cs="仿宋"/>
          <w:b/>
          <w:bCs/>
          <w:sz w:val="28"/>
          <w:szCs w:val="28"/>
          <w:u w:val="single"/>
          <w:vertAlign w:val="baseline"/>
          <w:lang w:val="en-US" w:eastAsia="zh-CN"/>
        </w:rPr>
        <w:t>中山大学孙逸仙纪念医院深汕中心医院医气正负压机组维保服务项目（第二次采购）（项目编号：ZCB-20240010）</w:t>
      </w:r>
      <w:r>
        <w:rPr>
          <w:rFonts w:hint="eastAsia" w:ascii="仿宋" w:hAnsi="仿宋" w:eastAsia="仿宋" w:cs="仿宋"/>
          <w:bCs/>
          <w:color w:val="000000"/>
          <w:sz w:val="28"/>
          <w:szCs w:val="28"/>
        </w:rPr>
        <w:t>，全权代表我司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提交响应文件</w:t>
      </w:r>
      <w:r>
        <w:rPr>
          <w:rFonts w:hint="eastAsia" w:ascii="仿宋" w:hAnsi="仿宋" w:eastAsia="仿宋" w:cs="仿宋"/>
          <w:bCs/>
          <w:color w:val="000000"/>
          <w:sz w:val="28"/>
          <w:szCs w:val="28"/>
        </w:rPr>
        <w:t>、合同签署及执行，以我司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的名义处理一切与之有关的具体事务，我司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对被授权人</w:t>
      </w:r>
      <w:r>
        <w:rPr>
          <w:rFonts w:hint="eastAsia" w:ascii="仿宋" w:hAnsi="仿宋" w:eastAsia="仿宋" w:cs="仿宋"/>
          <w:bCs/>
          <w:color w:val="000000"/>
          <w:sz w:val="28"/>
          <w:szCs w:val="28"/>
          <w:lang w:val="en-US" w:eastAsia="zh-CN"/>
        </w:rPr>
        <w:t>签署的文件及相关</w:t>
      </w:r>
      <w:r>
        <w:rPr>
          <w:rFonts w:hint="eastAsia" w:ascii="仿宋" w:hAnsi="仿宋" w:eastAsia="仿宋" w:cs="仿宋"/>
          <w:bCs/>
          <w:color w:val="000000"/>
          <w:sz w:val="28"/>
          <w:szCs w:val="28"/>
        </w:rPr>
        <w:t>事项负全部法律责任。</w:t>
      </w:r>
    </w:p>
    <w:p>
      <w:pPr>
        <w:tabs>
          <w:tab w:val="left" w:pos="4842"/>
        </w:tabs>
        <w:jc w:val="center"/>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3437890" cy="1917700"/>
                <wp:effectExtent l="4445" t="4445" r="5715" b="20955"/>
                <wp:docPr id="1" name="矩形 1"/>
                <wp:cNvGraphicFramePr/>
                <a:graphic xmlns:a="http://schemas.openxmlformats.org/drawingml/2006/main">
                  <a:graphicData uri="http://schemas.microsoft.com/office/word/2010/wordprocessingShape">
                    <wps:wsp>
                      <wps:cNvSpPr/>
                      <wps:spPr>
                        <a:xfrm>
                          <a:off x="0" y="0"/>
                          <a:ext cx="3437890" cy="191770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rPr>
                                <w:sz w:val="24"/>
                                <w:szCs w:val="24"/>
                              </w:rPr>
                              <w:t>被授权人（授权代表）</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 xml:space="preserve">居民身份证复印件（正面） </w:t>
                            </w:r>
                          </w:p>
                        </w:txbxContent>
                      </wps:txbx>
                      <wps:bodyPr lIns="0" tIns="0" rIns="0" bIns="0" upright="1"/>
                    </wps:wsp>
                  </a:graphicData>
                </a:graphic>
              </wp:inline>
            </w:drawing>
          </mc:Choice>
          <mc:Fallback>
            <w:pict>
              <v:rect id="_x0000_s1026" o:spid="_x0000_s1026" o:spt="1" style="height:151pt;width:270.7pt;" filled="f" stroked="t" coordsize="21600,21600" o:gfxdata="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uWivSAAAABQEAAA8AAAAAAAAAAQAgAAAA&#10;IgAAAGRycy9kb3ducmV2LnhtbFBLAQIUABQAAAAIAIdO4kANh05LEQIAADMEAAAOAAAAAAAAAAEA&#10;IAAAACEBAABkcnMvZTJvRG9jLnhtbFBLBQYAAAAABgAGAFkBAACkBQ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rPr>
                          <w:sz w:val="24"/>
                          <w:szCs w:val="24"/>
                        </w:rPr>
                        <w:t>被授权人（授权代表）</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 xml:space="preserve">居民身份证复印件（正面） </w:t>
                      </w:r>
                    </w:p>
                  </w:txbxContent>
                </v:textbox>
                <w10:wrap type="none"/>
                <w10:anchorlock/>
              </v:rect>
            </w:pict>
          </mc:Fallback>
        </mc:AlternateContent>
      </w:r>
    </w:p>
    <w:p>
      <w:pPr>
        <w:tabs>
          <w:tab w:val="left" w:pos="4842"/>
        </w:tabs>
        <w:jc w:val="center"/>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3437890" cy="1917700"/>
                <wp:effectExtent l="4445" t="4445" r="5715" b="20955"/>
                <wp:docPr id="5" name="矩形 5"/>
                <wp:cNvGraphicFramePr/>
                <a:graphic xmlns:a="http://schemas.openxmlformats.org/drawingml/2006/main">
                  <a:graphicData uri="http://schemas.microsoft.com/office/word/2010/wordprocessingShape">
                    <wps:wsp>
                      <wps:cNvSpPr/>
                      <wps:spPr>
                        <a:xfrm>
                          <a:off x="0" y="0"/>
                          <a:ext cx="3437890" cy="191770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rPr>
                                <w:sz w:val="24"/>
                                <w:szCs w:val="24"/>
                              </w:rPr>
                              <w:t>被授权人（授权代表）</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居民身份证复印件（</w:t>
                            </w:r>
                            <w:r>
                              <w:rPr>
                                <w:rFonts w:hint="eastAsia" w:cs="Times New Roman"/>
                                <w:kern w:val="2"/>
                                <w:sz w:val="24"/>
                                <w:szCs w:val="24"/>
                                <w:lang w:val="en-US" w:eastAsia="zh-CN" w:bidi="ar-SA"/>
                              </w:rPr>
                              <w:t>反</w:t>
                            </w:r>
                            <w:r>
                              <w:rPr>
                                <w:rFonts w:ascii="Times New Roman" w:hAnsi="Times New Roman" w:eastAsia="宋体" w:cs="Times New Roman"/>
                                <w:kern w:val="2"/>
                                <w:sz w:val="24"/>
                                <w:szCs w:val="24"/>
                                <w:lang w:val="en-US" w:eastAsia="zh-CN" w:bidi="ar-SA"/>
                              </w:rPr>
                              <w:t xml:space="preserve">面） </w:t>
                            </w:r>
                          </w:p>
                        </w:txbxContent>
                      </wps:txbx>
                      <wps:bodyPr lIns="0" tIns="0" rIns="0" bIns="0" upright="1"/>
                    </wps:wsp>
                  </a:graphicData>
                </a:graphic>
              </wp:inline>
            </w:drawing>
          </mc:Choice>
          <mc:Fallback>
            <w:pict>
              <v:rect id="_x0000_s1026" o:spid="_x0000_s1026" o:spt="1" style="height:151pt;width:270.7pt;" filled="f" stroked="t" coordsize="21600,21600" o:gfxdata="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uWivSAAAABQEAAA8AAAAAAAAAAQAgAAAA&#10;IgAAAGRycy9kb3ducmV2LnhtbFBLAQIUABQAAAAIAIdO4kCyx5vjEQIAADMEAAAOAAAAAAAAAAEA&#10;IAAAACEBAABkcnMvZTJvRG9jLnhtbFBLBQYAAAAABgAGAFkBAACkBQ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rPr>
                          <w:sz w:val="24"/>
                          <w:szCs w:val="24"/>
                        </w:rPr>
                        <w:t>被授权人（授权代表）</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居民身份证复印件（</w:t>
                      </w:r>
                      <w:r>
                        <w:rPr>
                          <w:rFonts w:hint="eastAsia" w:cs="Times New Roman"/>
                          <w:kern w:val="2"/>
                          <w:sz w:val="24"/>
                          <w:szCs w:val="24"/>
                          <w:lang w:val="en-US" w:eastAsia="zh-CN" w:bidi="ar-SA"/>
                        </w:rPr>
                        <w:t>反</w:t>
                      </w:r>
                      <w:r>
                        <w:rPr>
                          <w:rFonts w:ascii="Times New Roman" w:hAnsi="Times New Roman" w:eastAsia="宋体" w:cs="Times New Roman"/>
                          <w:kern w:val="2"/>
                          <w:sz w:val="24"/>
                          <w:szCs w:val="24"/>
                          <w:lang w:val="en-US" w:eastAsia="zh-CN" w:bidi="ar-SA"/>
                        </w:rPr>
                        <w:t xml:space="preserve">面） </w:t>
                      </w:r>
                    </w:p>
                  </w:txbxContent>
                </v:textbox>
                <w10:wrap type="none"/>
                <w10:anchorlock/>
              </v:rect>
            </w:pict>
          </mc:Fallback>
        </mc:AlternateContent>
      </w:r>
    </w:p>
    <w:p>
      <w:pPr>
        <w:spacing w:line="240" w:lineRule="auto"/>
        <w:ind w:left="0" w:leftChars="0" w:firstLine="3578" w:firstLineChars="1278"/>
        <w:jc w:val="both"/>
        <w:rPr>
          <w:rFonts w:hint="eastAsia" w:ascii="仿宋" w:hAnsi="仿宋" w:eastAsia="仿宋" w:cs="仿宋"/>
          <w:sz w:val="28"/>
          <w:szCs w:val="28"/>
          <w:u w:val="single"/>
        </w:rPr>
      </w:pPr>
      <w:r>
        <w:rPr>
          <w:rFonts w:hint="eastAsia" w:ascii="仿宋" w:hAnsi="仿宋" w:eastAsia="仿宋" w:cs="仿宋"/>
          <w:sz w:val="28"/>
          <w:szCs w:val="28"/>
          <w:lang w:eastAsia="zh-CN"/>
        </w:rPr>
        <w:t>响应供应商</w:t>
      </w:r>
      <w:r>
        <w:rPr>
          <w:rFonts w:hint="eastAsia" w:ascii="仿宋" w:hAnsi="仿宋" w:eastAsia="仿宋" w:cs="仿宋"/>
          <w:sz w:val="28"/>
          <w:szCs w:val="28"/>
        </w:rPr>
        <w:t>（公章）：</w:t>
      </w:r>
    </w:p>
    <w:p>
      <w:pPr>
        <w:spacing w:line="240" w:lineRule="auto"/>
        <w:ind w:left="0" w:leftChars="0" w:firstLine="3578" w:firstLineChars="1278"/>
        <w:jc w:val="both"/>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w:t>
      </w:r>
      <w:r>
        <w:rPr>
          <w:rFonts w:hint="eastAsia" w:ascii="仿宋" w:hAnsi="仿宋" w:eastAsia="仿宋" w:cs="仿宋"/>
          <w:sz w:val="28"/>
          <w:szCs w:val="28"/>
        </w:rPr>
        <w:t>授权代表（</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spacing w:line="240" w:lineRule="auto"/>
        <w:ind w:left="0" w:leftChars="0" w:firstLine="3578" w:firstLineChars="1278"/>
        <w:jc w:val="both"/>
        <w:rPr>
          <w:rFonts w:hint="eastAsia" w:ascii="仿宋" w:hAnsi="仿宋" w:eastAsia="仿宋" w:cs="仿宋"/>
          <w:sz w:val="28"/>
          <w:szCs w:val="28"/>
        </w:rPr>
      </w:pPr>
      <w:r>
        <w:rPr>
          <w:rFonts w:hint="eastAsia" w:ascii="仿宋" w:hAnsi="仿宋" w:eastAsia="仿宋" w:cs="仿宋"/>
          <w:sz w:val="28"/>
          <w:szCs w:val="28"/>
        </w:rPr>
        <w:t>被授权人（</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pStyle w:val="3"/>
        <w:tabs>
          <w:tab w:val="left" w:pos="900"/>
        </w:tabs>
        <w:adjustRightInd w:val="0"/>
        <w:snapToGrid w:val="0"/>
        <w:spacing w:line="240" w:lineRule="auto"/>
        <w:ind w:firstLine="3558" w:firstLineChars="1271"/>
        <w:jc w:val="left"/>
        <w:rPr>
          <w:rFonts w:hint="eastAsia" w:ascii="仿宋" w:hAnsi="仿宋" w:eastAsia="仿宋" w:cs="仿宋"/>
          <w:bCs/>
          <w:color w:val="000000"/>
          <w:sz w:val="21"/>
          <w:szCs w:val="21"/>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bCs/>
          <w:color w:val="000000"/>
          <w:sz w:val="28"/>
          <w:szCs w:val="28"/>
          <w:lang w:val="en-US" w:eastAsia="zh-CN"/>
        </w:rPr>
        <w:t xml:space="preserve">  </w:t>
      </w:r>
    </w:p>
    <w:p>
      <w:pPr>
        <w:pStyle w:val="10"/>
        <w:pageBreakBefore w:val="0"/>
        <w:numPr>
          <w:ilvl w:val="0"/>
          <w:numId w:val="0"/>
        </w:numPr>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28"/>
          <w:szCs w:val="28"/>
          <w:highlight w:val="none"/>
          <w:lang w:val="en-US" w:eastAsia="zh-CN"/>
        </w:rPr>
        <w:t>6、</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ordWrap/>
        <w:overflowPunct/>
        <w:topLinePunct w:val="0"/>
        <w:bidi w:val="0"/>
        <w:adjustRightInd w:val="0"/>
        <w:snapToGrid w:val="0"/>
        <w:spacing w:line="240" w:lineRule="auto"/>
        <w:jc w:val="center"/>
        <w:rPr>
          <w:rFonts w:hint="eastAsia"/>
        </w:rPr>
      </w:pPr>
      <w:r>
        <w:rPr>
          <w:rFonts w:hint="eastAsia" w:ascii="仿宋" w:hAnsi="仿宋" w:eastAsia="仿宋" w:cs="仿宋"/>
          <w:sz w:val="20"/>
          <w:szCs w:val="20"/>
          <w:lang w:val="en-US" w:eastAsia="zh-CN"/>
        </w:rPr>
        <w:t>（注：本承诺函内容不得擅自删改</w:t>
      </w:r>
      <w:r>
        <w:rPr>
          <w:rFonts w:hint="eastAsia" w:ascii="仿宋" w:hAnsi="仿宋" w:eastAsia="仿宋" w:cs="仿宋"/>
          <w:b/>
          <w:bCs/>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0" w:line="40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本公司/本单</w:t>
      </w:r>
      <w:r>
        <w:rPr>
          <w:rFonts w:hint="eastAsia" w:ascii="仿宋" w:hAnsi="仿宋" w:eastAsia="仿宋" w:cs="仿宋"/>
          <w:b w:val="0"/>
          <w:bCs w:val="0"/>
          <w:sz w:val="24"/>
          <w:szCs w:val="24"/>
          <w:lang w:val="en-US" w:eastAsia="zh-CN"/>
        </w:rPr>
        <w:t>位自愿参与响应</w:t>
      </w:r>
      <w:r>
        <w:rPr>
          <w:rFonts w:hint="eastAsia" w:ascii="仿宋" w:hAnsi="仿宋" w:eastAsia="仿宋" w:cs="仿宋"/>
          <w:b/>
          <w:bCs/>
          <w:sz w:val="24"/>
          <w:szCs w:val="24"/>
          <w:lang w:val="en-US" w:eastAsia="zh-CN"/>
        </w:rPr>
        <w:t>中山大学孙逸仙纪念医院深汕中心医院医气正负压机组维保服务项目（第二次采购）（项目编号：ZCB-20240010，以下简称“本项目”）</w:t>
      </w:r>
      <w:r>
        <w:rPr>
          <w:rFonts w:hint="eastAsia" w:ascii="仿宋" w:hAnsi="仿宋" w:eastAsia="仿宋" w:cs="仿宋"/>
          <w:b w:val="0"/>
          <w:bCs w:val="0"/>
          <w:sz w:val="24"/>
          <w:szCs w:val="24"/>
          <w:lang w:val="en-US" w:eastAsia="zh-CN"/>
        </w:rPr>
        <w:t>，现确认并承诺如下：</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1、本公司/本单位具有独立承担民事责任能力，具备履行本项目所必需的资质、人员、设备和专业技术能力。</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公司/本单位在经营活动中没有重大违法记录，不存在仍在有效期内的被列入失信被执行人、重大税收违法案件当事人名单、政府采购严重违法失信行为记录名单或其他不符合参与本项目采购活动资格条件的情形。</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3、本公司/本单位承诺不存在“法定代表人或单位负责人为同一人或者存在直接控股、管理关系的不同供应商，同时参加本项目的响应”的情况。</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4、本公司/本单位参加本次响应属于非联合体响应，并承诺绝不分包、转包。</w:t>
      </w:r>
    </w:p>
    <w:p>
      <w:pPr>
        <w:keepNext w:val="0"/>
        <w:keepLines w:val="0"/>
        <w:pageBreakBefore w:val="0"/>
        <w:wordWrap/>
        <w:overflowPunct/>
        <w:topLinePunct w:val="0"/>
        <w:bidi w:val="0"/>
        <w:spacing w:line="400" w:lineRule="exact"/>
        <w:ind w:firstLine="480" w:firstLineChars="200"/>
        <w:jc w:val="both"/>
        <w:rPr>
          <w:rFonts w:hint="default"/>
          <w:lang w:val="en-US" w:eastAsia="zh-CN"/>
        </w:rPr>
      </w:pPr>
      <w:r>
        <w:rPr>
          <w:rFonts w:hint="eastAsia" w:ascii="仿宋" w:hAnsi="仿宋" w:eastAsia="仿宋" w:cs="仿宋"/>
          <w:sz w:val="24"/>
          <w:szCs w:val="24"/>
          <w:lang w:val="en-US" w:eastAsia="zh-CN"/>
        </w:rPr>
        <w:t>5、本公司/本单位在提交响应文件前已详细研究了本项目采购文件的全部内容，已完全清晰理解本项目的全部要求。如成交，本公司/本单位保证按时、按量、按质履行贵我双方签订的合同中的全部责任和义务。</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6、本公司/本单位同意通过快递邮寄纸质响应文件的方式参加本项目采购活动，同时清楚理解本项目的评审规则并认可贵院评审的全过程及结果。</w:t>
      </w:r>
    </w:p>
    <w:p>
      <w:pPr>
        <w:keepNext w:val="0"/>
        <w:keepLines w:val="0"/>
        <w:pageBreakBefore w:val="0"/>
        <w:numPr>
          <w:ilvl w:val="0"/>
          <w:numId w:val="17"/>
        </w:numPr>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公司/本单位承诺满足本项目采购文件的全部要求，并且已毫无保留地向贵院提供一切所需的证明材料。本公司/本单位提供的一切文件，无论是纸质版或者电子版文件的原件、复制件或扫描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ordWrap/>
        <w:overflowPunct/>
        <w:topLinePunct w:val="0"/>
        <w:bidi w:val="0"/>
        <w:spacing w:line="400" w:lineRule="exact"/>
        <w:ind w:firstLine="480" w:firstLineChars="200"/>
        <w:jc w:val="both"/>
        <w:rPr>
          <w:rFonts w:hint="eastAsia"/>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本响应文件的有效期为本项目响应</w:t>
      </w:r>
      <w:r>
        <w:rPr>
          <w:rFonts w:hint="eastAsia" w:ascii="仿宋" w:hAnsi="仿宋" w:eastAsia="仿宋" w:cs="仿宋"/>
          <w:sz w:val="24"/>
          <w:szCs w:val="24"/>
          <w:lang w:val="en-US" w:eastAsia="zh-CN"/>
        </w:rPr>
        <w:t>文件接收</w:t>
      </w:r>
      <w:r>
        <w:rPr>
          <w:rFonts w:hint="eastAsia" w:ascii="仿宋" w:hAnsi="仿宋" w:eastAsia="仿宋" w:cs="仿宋"/>
          <w:sz w:val="24"/>
          <w:szCs w:val="24"/>
        </w:rPr>
        <w:t>截止之日起90个日历日。如成交，有效期将延至合同终止日为止。</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9、以上承诺内容如有虚假或与事实不符的，贵院可将本公司/本单位的响应作无效响应处理，所造成的损失、不良后果及法律责任，一律由本公司/本单位承担。</w:t>
      </w: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5"/>
        <w:keepNext/>
        <w:keepLines/>
        <w:pageBreakBefore/>
        <w:widowControl w:val="0"/>
        <w:numPr>
          <w:ilvl w:val="0"/>
          <w:numId w:val="0"/>
        </w:numPr>
        <w:kinsoku/>
        <w:wordWrap/>
        <w:overflowPunct/>
        <w:topLinePunct w:val="0"/>
        <w:autoSpaceDE/>
        <w:autoSpaceDN/>
        <w:bidi w:val="0"/>
        <w:adjustRightInd w:val="0"/>
        <w:snapToGrid w:val="0"/>
        <w:spacing w:before="156" w:beforeLines="50" w:after="0" w:line="416" w:lineRule="auto"/>
        <w:jc w:val="center"/>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三</w:t>
      </w:r>
      <w:r>
        <w:rPr>
          <w:rFonts w:hint="eastAsia" w:ascii="仿宋" w:hAnsi="仿宋" w:eastAsia="仿宋" w:cs="仿宋"/>
          <w:sz w:val="36"/>
          <w:szCs w:val="36"/>
        </w:rPr>
        <w:t>、技术评审</w:t>
      </w:r>
    </w:p>
    <w:p>
      <w:pPr>
        <w:pStyle w:val="23"/>
        <w:keepNext w:val="0"/>
        <w:keepLines w:val="0"/>
        <w:pageBreakBefore w:val="0"/>
        <w:widowControl w:val="0"/>
        <w:kinsoku/>
        <w:wordWrap/>
        <w:overflowPunct/>
        <w:topLinePunct w:val="0"/>
        <w:autoSpaceDE/>
        <w:autoSpaceDN/>
        <w:bidi w:val="0"/>
        <w:adjustRightInd/>
        <w:snapToGrid/>
        <w:spacing w:before="0"/>
        <w:textAlignment w:val="auto"/>
        <w:rPr>
          <w:rFonts w:hint="eastAsia" w:ascii="仿宋" w:hAnsi="仿宋" w:eastAsia="仿宋" w:cs="仿宋"/>
        </w:rPr>
      </w:pPr>
      <w:bookmarkStart w:id="6" w:name="_Toc2374"/>
      <w:r>
        <w:rPr>
          <w:rFonts w:hint="eastAsia" w:ascii="仿宋" w:hAnsi="仿宋" w:eastAsia="仿宋" w:cs="仿宋"/>
        </w:rPr>
        <w:t>（一）技术评审自查表</w:t>
      </w:r>
      <w:bookmarkEnd w:id="6"/>
    </w:p>
    <w:p>
      <w:pPr>
        <w:adjustRightInd w:val="0"/>
        <w:snapToGrid w:val="0"/>
        <w:ind w:left="-617" w:leftChars="-294" w:right="-395" w:rightChars="-188" w:firstLine="420" w:firstLineChars="199"/>
        <w:rPr>
          <w:rFonts w:hint="eastAsia" w:ascii="仿宋" w:hAnsi="仿宋" w:eastAsia="仿宋" w:cs="仿宋"/>
          <w:b/>
          <w:bCs/>
          <w:szCs w:val="21"/>
        </w:rPr>
      </w:pPr>
      <w:r>
        <w:rPr>
          <w:rFonts w:hint="eastAsia" w:ascii="仿宋" w:hAnsi="仿宋" w:eastAsia="仿宋" w:cs="仿宋"/>
          <w:b/>
          <w:bCs/>
          <w:szCs w:val="21"/>
          <w:lang w:val="en-GB" w:eastAsia="zh-CN"/>
        </w:rPr>
        <w:t>响应供应商</w:t>
      </w:r>
      <w:r>
        <w:rPr>
          <w:rFonts w:hint="eastAsia" w:ascii="仿宋" w:hAnsi="仿宋" w:eastAsia="仿宋" w:cs="仿宋"/>
          <w:b/>
          <w:bCs/>
          <w:szCs w:val="21"/>
          <w:lang w:val="en-GB"/>
        </w:rPr>
        <w:t>应根据《技术评审自查表》的各项内容填写，</w:t>
      </w:r>
      <w:r>
        <w:rPr>
          <w:rFonts w:hint="eastAsia" w:ascii="仿宋" w:hAnsi="仿宋" w:eastAsia="仿宋" w:cs="仿宋"/>
          <w:b/>
          <w:bCs/>
          <w:szCs w:val="21"/>
        </w:rPr>
        <w:t>并提供相应的证明资料及填写页码，如未提供，评审委员会有权认为不具备或不符合，并影响</w:t>
      </w:r>
      <w:r>
        <w:rPr>
          <w:rFonts w:hint="eastAsia" w:ascii="仿宋" w:hAnsi="仿宋" w:eastAsia="仿宋" w:cs="仿宋"/>
          <w:b/>
          <w:bCs/>
          <w:szCs w:val="21"/>
          <w:lang w:eastAsia="zh-CN"/>
        </w:rPr>
        <w:t>响应供应商</w:t>
      </w:r>
      <w:r>
        <w:rPr>
          <w:rFonts w:hint="eastAsia" w:ascii="仿宋" w:hAnsi="仿宋" w:eastAsia="仿宋" w:cs="仿宋"/>
          <w:b/>
          <w:bCs/>
          <w:szCs w:val="21"/>
        </w:rPr>
        <w:t>的得分。</w:t>
      </w:r>
    </w:p>
    <w:tbl>
      <w:tblPr>
        <w:tblStyle w:val="26"/>
        <w:tblpPr w:leftFromText="180" w:rightFromText="180" w:vertAnchor="text" w:horzAnchor="page" w:tblpX="868" w:tblpY="260"/>
        <w:tblOverlap w:val="never"/>
        <w:tblW w:w="939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48"/>
        <w:gridCol w:w="3751"/>
        <w:gridCol w:w="2634"/>
        <w:gridCol w:w="1316"/>
        <w:gridCol w:w="13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348" w:type="dxa"/>
            <w:noWrap w:val="0"/>
            <w:vAlign w:val="center"/>
          </w:tcPr>
          <w:p>
            <w:pPr>
              <w:jc w:val="left"/>
              <w:rPr>
                <w:rFonts w:hint="eastAsia" w:ascii="仿宋" w:hAnsi="仿宋" w:eastAsia="仿宋" w:cs="仿宋"/>
                <w:b/>
                <w:bCs w:val="0"/>
                <w:sz w:val="24"/>
                <w:szCs w:val="24"/>
              </w:rPr>
            </w:pPr>
            <w:r>
              <w:rPr>
                <w:rFonts w:hint="eastAsia" w:ascii="仿宋" w:hAnsi="仿宋" w:eastAsia="仿宋" w:cs="仿宋"/>
                <w:b/>
                <w:bCs w:val="0"/>
                <w:sz w:val="24"/>
                <w:szCs w:val="24"/>
              </w:rPr>
              <w:t>序号</w:t>
            </w:r>
          </w:p>
        </w:tc>
        <w:tc>
          <w:tcPr>
            <w:tcW w:w="6385" w:type="dxa"/>
            <w:gridSpan w:val="2"/>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评审细则</w:t>
            </w:r>
          </w:p>
        </w:tc>
        <w:tc>
          <w:tcPr>
            <w:tcW w:w="1316"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证明资料</w:t>
            </w:r>
            <w:r>
              <w:rPr>
                <w:rFonts w:hint="eastAsia" w:ascii="仿宋" w:hAnsi="仿宋" w:eastAsia="仿宋" w:cs="仿宋"/>
                <w:b/>
                <w:bCs w:val="0"/>
                <w:sz w:val="24"/>
                <w:szCs w:val="24"/>
              </w:rPr>
              <w:t>提供情况</w:t>
            </w:r>
          </w:p>
        </w:tc>
        <w:tc>
          <w:tcPr>
            <w:tcW w:w="1350"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34" w:hRule="atLeast"/>
        </w:trPr>
        <w:tc>
          <w:tcPr>
            <w:tcW w:w="348"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lang w:eastAsia="zh-CN"/>
              </w:rPr>
              <w:t>团队</w:t>
            </w:r>
            <w:r>
              <w:rPr>
                <w:rFonts w:hint="eastAsia" w:ascii="仿宋" w:hAnsi="仿宋" w:eastAsia="仿宋" w:cs="仿宋"/>
                <w:b/>
                <w:bCs/>
                <w:color w:val="auto"/>
                <w:sz w:val="24"/>
                <w:szCs w:val="24"/>
                <w:highlight w:val="none"/>
                <w:lang w:val="en-US" w:eastAsia="zh-CN"/>
              </w:rPr>
              <w:t>人员配备及经验（16分）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lang w:val="en-US" w:eastAsia="zh-CN"/>
              </w:rPr>
              <w:t>根据响应供应商拟为本项目组建的服务团队力量进行评审</w:t>
            </w:r>
            <w:r>
              <w:rPr>
                <w:rFonts w:hint="eastAsia" w:ascii="仿宋" w:hAnsi="仿宋" w:eastAsia="仿宋" w:cs="仿宋"/>
                <w:color w:val="auto"/>
                <w:sz w:val="24"/>
                <w:szCs w:val="24"/>
                <w:highlight w:val="none"/>
                <w:lang w:val="en-US" w:eastAsia="zh-CN"/>
              </w:rPr>
              <w:t>（服务团队需包括</w:t>
            </w:r>
            <w:r>
              <w:rPr>
                <w:rFonts w:hint="eastAsia" w:ascii="仿宋" w:hAnsi="仿宋" w:eastAsia="仿宋" w:cs="仿宋"/>
                <w:sz w:val="24"/>
                <w:szCs w:val="24"/>
                <w:lang w:val="en-US" w:eastAsia="zh-CN"/>
              </w:rPr>
              <w:t>1名项目经理和至少2名项目成员</w:t>
            </w: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lang w:val="en-US" w:eastAsia="zh-CN"/>
              </w:rPr>
              <w:t>：</w:t>
            </w:r>
          </w:p>
          <w:p>
            <w:pPr>
              <w:pStyle w:val="11"/>
              <w:keepNext w:val="0"/>
              <w:keepLines w:val="0"/>
              <w:pageBreakBefore w:val="0"/>
              <w:widowControl w:val="0"/>
              <w:numPr>
                <w:ilvl w:val="0"/>
                <w:numId w:val="18"/>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拟任本项目的项目经理完成过同类医气正负压机组维保服务业绩的，每一个业绩得2分，最高4分。</w:t>
            </w:r>
          </w:p>
          <w:p>
            <w:pPr>
              <w:pStyle w:val="11"/>
              <w:keepNext w:val="0"/>
              <w:keepLines w:val="0"/>
              <w:pageBreakBefore w:val="0"/>
              <w:widowControl w:val="0"/>
              <w:numPr>
                <w:ilvl w:val="0"/>
                <w:numId w:val="18"/>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lang w:val="en-US" w:eastAsia="zh-CN" w:bidi="ar"/>
              </w:rPr>
              <w:t>拟派驻的</w:t>
            </w:r>
            <w:r>
              <w:rPr>
                <w:rFonts w:hint="eastAsia" w:ascii="仿宋" w:hAnsi="仿宋" w:eastAsia="仿宋" w:cs="仿宋"/>
                <w:color w:val="auto"/>
                <w:sz w:val="24"/>
                <w:szCs w:val="24"/>
                <w:highlight w:val="none"/>
                <w:lang w:val="en-US" w:eastAsia="zh-CN"/>
              </w:rPr>
              <w:t>项目成员</w:t>
            </w:r>
          </w:p>
          <w:p>
            <w:pPr>
              <w:pStyle w:val="11"/>
              <w:keepNext w:val="0"/>
              <w:keepLines w:val="0"/>
              <w:pageBreakBefore w:val="0"/>
              <w:widowControl w:val="0"/>
              <w:numPr>
                <w:ilvl w:val="0"/>
                <w:numId w:val="19"/>
              </w:numPr>
              <w:kinsoku/>
              <w:wordWrap/>
              <w:overflowPunct/>
              <w:topLinePunct w:val="0"/>
              <w:autoSpaceDE/>
              <w:autoSpaceDN/>
              <w:bidi w:val="0"/>
              <w:adjustRightInd/>
              <w:snapToGrid/>
              <w:ind w:left="0" w:leftChars="0"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w:t>
            </w:r>
            <w:r>
              <w:rPr>
                <w:rFonts w:hint="eastAsia" w:ascii="仿宋" w:hAnsi="仿宋" w:eastAsia="仿宋" w:cs="仿宋"/>
                <w:color w:val="000000"/>
                <w:kern w:val="0"/>
                <w:sz w:val="24"/>
                <w:szCs w:val="24"/>
                <w:lang w:val="zh-CN" w:eastAsia="zh-CN" w:bidi="ar"/>
              </w:rPr>
              <w:t>备</w:t>
            </w:r>
            <w:r>
              <w:rPr>
                <w:rFonts w:hint="eastAsia" w:ascii="仿宋" w:hAnsi="仿宋" w:eastAsia="仿宋" w:cs="仿宋"/>
                <w:color w:val="000000"/>
                <w:kern w:val="0"/>
                <w:sz w:val="24"/>
                <w:szCs w:val="24"/>
                <w:lang w:val="en-US" w:eastAsia="zh-CN" w:bidi="ar"/>
              </w:rPr>
              <w:t>快开门式压力容器操作证（R1），每提供一个得2分，最高得4分；</w:t>
            </w:r>
          </w:p>
          <w:p>
            <w:pPr>
              <w:pStyle w:val="11"/>
              <w:keepNext w:val="0"/>
              <w:keepLines w:val="0"/>
              <w:pageBreakBefore w:val="0"/>
              <w:widowControl w:val="0"/>
              <w:numPr>
                <w:ilvl w:val="0"/>
                <w:numId w:val="19"/>
              </w:numPr>
              <w:kinsoku/>
              <w:wordWrap/>
              <w:overflowPunct/>
              <w:topLinePunct w:val="0"/>
              <w:autoSpaceDE/>
              <w:autoSpaceDN/>
              <w:bidi w:val="0"/>
              <w:adjustRightInd/>
              <w:snapToGrid/>
              <w:ind w:left="0" w:leftChars="0"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具有电工证，每提供一个得2分，最高得4分；</w:t>
            </w:r>
          </w:p>
          <w:p>
            <w:pPr>
              <w:pStyle w:val="10"/>
              <w:keepNext w:val="0"/>
              <w:keepLines w:val="0"/>
              <w:pageBreakBefore w:val="0"/>
              <w:widowControl w:val="0"/>
              <w:numPr>
                <w:ilvl w:val="0"/>
                <w:numId w:val="19"/>
              </w:numPr>
              <w:kinsoku/>
              <w:wordWrap/>
              <w:overflowPunct/>
              <w:topLinePunct w:val="0"/>
              <w:autoSpaceDE/>
              <w:autoSpaceDN/>
              <w:bidi w:val="0"/>
              <w:adjustRightInd/>
              <w:snapToGrid/>
              <w:ind w:left="0" w:leftChars="0" w:firstLine="480" w:firstLineChars="200"/>
              <w:jc w:val="left"/>
              <w:textAlignment w:val="auto"/>
              <w:rPr>
                <w:rFonts w:hint="eastAsia" w:ascii="仿宋" w:hAnsi="仿宋" w:eastAsia="仿宋" w:cs="仿宋"/>
                <w:sz w:val="24"/>
                <w:szCs w:val="24"/>
                <w:lang w:val="zh-CN" w:eastAsia="zh-CN"/>
              </w:rPr>
            </w:pPr>
            <w:r>
              <w:rPr>
                <w:rFonts w:hint="eastAsia" w:ascii="仿宋" w:hAnsi="仿宋" w:eastAsia="仿宋" w:cs="仿宋"/>
                <w:color w:val="000000"/>
                <w:kern w:val="0"/>
                <w:sz w:val="24"/>
                <w:szCs w:val="24"/>
                <w:lang w:val="en-US" w:eastAsia="zh-CN" w:bidi="ar"/>
              </w:rPr>
              <w:t>具有焊工证，每提供一个得2分，最高得4分。</w:t>
            </w:r>
          </w:p>
        </w:tc>
        <w:tc>
          <w:tcPr>
            <w:tcW w:w="2634" w:type="dxa"/>
            <w:noWrap w:val="0"/>
            <w:vAlign w:val="center"/>
          </w:tcPr>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1、响应供应商需提供：</w:t>
            </w:r>
          </w:p>
          <w:p>
            <w:pPr>
              <w:numPr>
                <w:ilvl w:val="0"/>
                <w:numId w:val="20"/>
              </w:numPr>
              <w:ind w:left="425" w:leftChars="0" w:hanging="425"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拟为本项目组建的团队人员清单（加盖公章）；</w:t>
            </w:r>
          </w:p>
          <w:p>
            <w:pPr>
              <w:numPr>
                <w:ilvl w:val="0"/>
                <w:numId w:val="20"/>
              </w:numPr>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lang w:eastAsia="zh-CN"/>
              </w:rPr>
              <w:t>资质</w:t>
            </w:r>
            <w:r>
              <w:rPr>
                <w:rFonts w:hint="eastAsia" w:ascii="仿宋" w:hAnsi="仿宋" w:eastAsia="仿宋" w:cs="仿宋"/>
                <w:color w:val="auto"/>
                <w:sz w:val="24"/>
                <w:szCs w:val="24"/>
                <w:highlight w:val="none"/>
                <w:lang w:val="en-US" w:eastAsia="zh-CN"/>
              </w:rPr>
              <w:t>证书及同类业绩合同等经验</w:t>
            </w:r>
            <w:r>
              <w:rPr>
                <w:rFonts w:hint="eastAsia" w:ascii="仿宋" w:hAnsi="仿宋" w:eastAsia="仿宋" w:cs="仿宋"/>
                <w:color w:val="auto"/>
                <w:sz w:val="24"/>
                <w:szCs w:val="24"/>
                <w:highlight w:val="none"/>
                <w:lang w:eastAsia="zh-CN"/>
              </w:rPr>
              <w:t>证明文件</w:t>
            </w:r>
            <w:r>
              <w:rPr>
                <w:rFonts w:hint="eastAsia" w:ascii="仿宋" w:hAnsi="仿宋" w:eastAsia="仿宋" w:cs="仿宋"/>
                <w:color w:val="auto"/>
                <w:sz w:val="24"/>
                <w:szCs w:val="24"/>
                <w:highlight w:val="none"/>
                <w:lang w:val="en-US" w:eastAsia="zh-CN"/>
              </w:rPr>
              <w:t>复印件（加盖公章）</w:t>
            </w:r>
            <w:r>
              <w:rPr>
                <w:rFonts w:hint="eastAsia" w:ascii="仿宋" w:hAnsi="仿宋" w:eastAsia="仿宋" w:cs="仿宋"/>
                <w:color w:val="auto"/>
                <w:sz w:val="24"/>
                <w:szCs w:val="24"/>
                <w:highlight w:val="none"/>
                <w:lang w:eastAsia="zh-CN"/>
              </w:rPr>
              <w:t>。</w:t>
            </w:r>
          </w:p>
          <w:p>
            <w:pPr>
              <w:shd w:val="clear"/>
              <w:tabs>
                <w:tab w:val="left" w:pos="840"/>
              </w:tabs>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2、合同复印件必须包含能够体现合同签订双方主体信息、项目概况等能体现属于同类业绩的合同内容以及双方签署页面等关键页。</w:t>
            </w:r>
          </w:p>
          <w:p>
            <w:pPr>
              <w:pStyle w:val="2"/>
              <w:ind w:left="0" w:leftChars="0" w:firstLine="0" w:firstLineChars="0"/>
              <w:rPr>
                <w:rFonts w:hint="eastAsia"/>
                <w:sz w:val="24"/>
                <w:szCs w:val="24"/>
                <w:lang w:val="en-US" w:eastAsia="zh-CN"/>
              </w:rPr>
            </w:pPr>
            <w:r>
              <w:rPr>
                <w:rFonts w:hint="eastAsia" w:ascii="仿宋" w:hAnsi="仿宋" w:eastAsia="仿宋" w:cs="仿宋"/>
                <w:color w:val="000000"/>
                <w:kern w:val="0"/>
                <w:sz w:val="24"/>
                <w:szCs w:val="24"/>
                <w:lang w:val="en-US" w:eastAsia="zh-CN" w:bidi="ar"/>
              </w:rPr>
              <w:t>提供与同一客户签订的多份合同以及同一客户的多份评价的，不重复计分，只计一次分。</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4" w:hRule="atLeast"/>
        </w:trPr>
        <w:tc>
          <w:tcPr>
            <w:tcW w:w="348"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服务响应速度（8分）</w:t>
            </w:r>
          </w:p>
          <w:p>
            <w:pPr>
              <w:pStyle w:val="11"/>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根据供应商承诺的服务响应速度进行评审：</w:t>
            </w:r>
          </w:p>
          <w:p>
            <w:pPr>
              <w:pStyle w:val="11"/>
              <w:keepNext w:val="0"/>
              <w:keepLines w:val="0"/>
              <w:pageBreakBefore w:val="0"/>
              <w:widowControl w:val="0"/>
              <w:numPr>
                <w:ilvl w:val="0"/>
                <w:numId w:val="21"/>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承诺在采购人提出服务要求后一个日历日内（不含提出服务要求当天）到场提供服务的，得8分；</w:t>
            </w:r>
          </w:p>
          <w:p>
            <w:pPr>
              <w:pStyle w:val="11"/>
              <w:keepNext w:val="0"/>
              <w:keepLines w:val="0"/>
              <w:pageBreakBefore w:val="0"/>
              <w:widowControl w:val="0"/>
              <w:numPr>
                <w:ilvl w:val="0"/>
                <w:numId w:val="21"/>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承诺在采购人提出服务要求后两个日历日内（不含提出服务要求当天）到场提供服务的，得5分；</w:t>
            </w:r>
          </w:p>
          <w:p>
            <w:pPr>
              <w:pStyle w:val="11"/>
              <w:keepNext w:val="0"/>
              <w:keepLines w:val="0"/>
              <w:pageBreakBefore w:val="0"/>
              <w:widowControl w:val="0"/>
              <w:numPr>
                <w:ilvl w:val="0"/>
                <w:numId w:val="21"/>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承诺在采购人提出服务要求后三个日历日内（不含提出服务要求当天）到场提供服务的，得2分；</w:t>
            </w:r>
          </w:p>
          <w:p>
            <w:pPr>
              <w:pStyle w:val="11"/>
              <w:keepNext w:val="0"/>
              <w:keepLines w:val="0"/>
              <w:pageBreakBefore w:val="0"/>
              <w:widowControl w:val="0"/>
              <w:numPr>
                <w:ilvl w:val="0"/>
                <w:numId w:val="21"/>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sz w:val="24"/>
                <w:szCs w:val="24"/>
                <w:lang w:val="zh-CN" w:eastAsia="zh-CN"/>
              </w:rPr>
            </w:pPr>
            <w:r>
              <w:rPr>
                <w:rFonts w:hint="eastAsia" w:ascii="仿宋" w:hAnsi="仿宋" w:eastAsia="仿宋" w:cs="仿宋"/>
                <w:color w:val="000000"/>
                <w:kern w:val="0"/>
                <w:sz w:val="24"/>
                <w:szCs w:val="24"/>
                <w:lang w:val="en-US" w:eastAsia="zh-CN" w:bidi="ar"/>
              </w:rPr>
              <w:t>不提供承诺函或其他情况不得分。</w:t>
            </w:r>
          </w:p>
        </w:tc>
        <w:tc>
          <w:tcPr>
            <w:tcW w:w="2634"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响应</w:t>
            </w:r>
            <w:r>
              <w:rPr>
                <w:rFonts w:hint="eastAsia" w:ascii="仿宋" w:hAnsi="仿宋" w:eastAsia="仿宋" w:cs="仿宋"/>
                <w:color w:val="000000"/>
                <w:kern w:val="0"/>
                <w:sz w:val="24"/>
                <w:szCs w:val="24"/>
                <w:lang w:val="en-US" w:eastAsia="zh-CN" w:bidi="ar"/>
              </w:rPr>
              <w:t>供应商提供承诺函并加盖公章，并加盖公章，格式自拟。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751" w:type="dxa"/>
            <w:noWrap w:val="0"/>
            <w:vAlign w:val="center"/>
          </w:tcPr>
          <w:p>
            <w:pPr>
              <w:pStyle w:val="2"/>
              <w:keepNext w:val="0"/>
              <w:keepLines w:val="0"/>
              <w:pageBreakBefore w:val="0"/>
              <w:widowControl w:val="0"/>
              <w:numPr>
                <w:ilvl w:val="-1"/>
                <w:numId w:val="0"/>
              </w:numPr>
              <w:kinsoku/>
              <w:wordWrap/>
              <w:overflowPunct/>
              <w:topLinePunct w:val="0"/>
              <w:autoSpaceDE/>
              <w:autoSpaceDN/>
              <w:bidi w:val="0"/>
              <w:adjustRightInd/>
              <w:snapToGrid/>
              <w:ind w:left="0" w:leftChars="0" w:firstLine="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维保服务方案（8分）</w:t>
            </w:r>
          </w:p>
          <w:p>
            <w:pPr>
              <w:pStyle w:val="2"/>
              <w:keepNext w:val="0"/>
              <w:keepLines w:val="0"/>
              <w:pageBreakBefore w:val="0"/>
              <w:widowControl w:val="0"/>
              <w:numPr>
                <w:ilvl w:val="-1"/>
                <w:numId w:val="0"/>
              </w:numPr>
              <w:kinsoku/>
              <w:wordWrap/>
              <w:overflowPunct/>
              <w:topLinePunct w:val="0"/>
              <w:autoSpaceDE/>
              <w:autoSpaceDN/>
              <w:bidi w:val="0"/>
              <w:adjustRightInd/>
              <w:snapToGrid/>
              <w:ind w:left="0" w:leftChars="0" w:firstLine="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根据供应商的项目维保服务方案进行综合评审：</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维保服务方案详细、具体，可行性高、针对性强，得8分；</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维保服务方案比较详细、具体，可行性较高，针对性较强，得5分；</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维保服务方案比较简单，可行性一般，针对性一般，得2分；</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维保服务方案简单，可行性差，针对性弱，或者未提供维保服务方案，不得分。</w:t>
            </w:r>
          </w:p>
        </w:tc>
        <w:tc>
          <w:tcPr>
            <w:tcW w:w="263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响应供应商需提供针对本项目的维保服务方案并加盖公章，格式自拟。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应急预案（8分）</w:t>
            </w:r>
          </w:p>
          <w:p>
            <w:pPr>
              <w:pStyle w:val="11"/>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根据供应商的项目应急预案进行综合评审：</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有完善的应急措施，应急方案针对临时性、突击性工作反映迅速，调配合理、安全，且有充分的资源作为应急支撑，得8分；</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有较好的应急措施，应急方案针对临时性、突击性工作反应较迅速，调配较合理、安全，且有较充分的资源作为应急支撑，得5分；</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有应急措施，但应急方案针对临时性、突击性工作反应慢，调配不够完善、安全，且有不够充分的资源作为应急支撑，得2分；</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有应急措施但内容简单没有针对性、没有资源作为应急支撑，或者未提供应急预案，不得分。</w:t>
            </w:r>
          </w:p>
        </w:tc>
        <w:tc>
          <w:tcPr>
            <w:tcW w:w="263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响应供应商需提供针对本项目的应急预案并加盖公章，格式自拟。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质量保证措施（6分）</w:t>
            </w:r>
          </w:p>
          <w:p>
            <w:pPr>
              <w:pStyle w:val="1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根据供应商的项目质量保证措施进行综合评审：</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针对项目实际情况，有先进、具体、完整、可行的措施，采用规范准确、清晰，得6分；</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针对项目实际情况，有比较先进、具体、完整、可行的措施，采用规范比较准确、清晰，得4分；</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有基本合理的措施，采用规范基本准确，得2分； </w:t>
            </w:r>
          </w:p>
          <w:p>
            <w:pPr>
              <w:pStyle w:val="2"/>
              <w:keepNext w:val="0"/>
              <w:keepLines w:val="0"/>
              <w:pageBreakBefore w:val="0"/>
              <w:widowControl w:val="0"/>
              <w:numPr>
                <w:ilvl w:val="0"/>
                <w:numId w:val="2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质量保证措施不合理、采用规范不准确或者未提供质量保证措施，不得分。</w:t>
            </w:r>
          </w:p>
        </w:tc>
        <w:tc>
          <w:tcPr>
            <w:tcW w:w="263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响应供应商需提供针对本项目的质量保证措施并加盖公章，格式自拟。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751" w:type="dxa"/>
            <w:noWrap w:val="0"/>
            <w:vAlign w:val="center"/>
          </w:tcPr>
          <w:p>
            <w:pPr>
              <w:spacing w:line="24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安全生产措施（6分）</w:t>
            </w:r>
          </w:p>
          <w:p>
            <w:pPr>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根据供应商的项目安全生产措施进行综合评审：</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有明确的安全生产措施、各项措施先进、详细、具体，可行且有重点，得6分；</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有较明确的安全生产措施、各项措施较先进、较详细、较具体，有重点但不够具体，得4分；</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安全生产措施基本明确、各项措施比较简单，有一定的重点，得2分；</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425" w:leftChars="0" w:hanging="425" w:firstLineChars="0"/>
              <w:textAlignment w:val="auto"/>
              <w:rPr>
                <w:rFonts w:hint="default"/>
                <w:lang w:val="en-US" w:eastAsia="zh-CN"/>
              </w:rPr>
            </w:pPr>
            <w:r>
              <w:rPr>
                <w:rFonts w:hint="eastAsia" w:ascii="仿宋" w:hAnsi="仿宋" w:eastAsia="仿宋" w:cs="仿宋"/>
                <w:color w:val="000000"/>
                <w:kern w:val="0"/>
                <w:sz w:val="24"/>
                <w:szCs w:val="24"/>
                <w:lang w:val="en-US" w:eastAsia="zh-CN" w:bidi="ar"/>
              </w:rPr>
              <w:t>安全生产措施不明确、各项措施简单，基本无重点或者未提供安全生产措施，不得分。</w:t>
            </w:r>
          </w:p>
        </w:tc>
        <w:tc>
          <w:tcPr>
            <w:tcW w:w="263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响应供应商需提供针对本项目的安全生产措施并加盖公章，格式自拟。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bl>
    <w:p>
      <w:pPr>
        <w:adjustRightInd w:val="0"/>
        <w:snapToGrid w:val="0"/>
        <w:ind w:left="-617" w:leftChars="-294" w:right="-395" w:rightChars="-188" w:firstLine="420" w:firstLineChars="199"/>
        <w:rPr>
          <w:rFonts w:hint="eastAsia"/>
        </w:rPr>
      </w:pPr>
      <w:r>
        <w:rPr>
          <w:rFonts w:hint="eastAsia" w:ascii="仿宋" w:hAnsi="仿宋" w:eastAsia="仿宋" w:cs="仿宋"/>
          <w:b/>
          <w:bCs/>
          <w:szCs w:val="21"/>
        </w:rPr>
        <w:t>注：</w:t>
      </w:r>
    </w:p>
    <w:p>
      <w:pPr>
        <w:pStyle w:val="33"/>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1、请在本表后附上相关证明资料且加盖公章方可得分，不提供不得分。</w:t>
      </w:r>
    </w:p>
    <w:p>
      <w:pPr>
        <w:pStyle w:val="33"/>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3"/>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3、本表要求提供的证书等证明文件，如有有效期的，须在有效期内，否则不得分。</w:t>
      </w:r>
    </w:p>
    <w:p>
      <w:pPr>
        <w:pStyle w:val="33"/>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4、响应供应商承诺以上响应情况属实，如有虚假响应，同意采购人将响应供应商的本次响应作无效响应处理，并将响应供应商列入采购人的失信供应商名单。</w:t>
      </w:r>
    </w:p>
    <w:p>
      <w:pPr>
        <w:pStyle w:val="33"/>
        <w:ind w:left="-617" w:leftChars="-294" w:right="-395" w:rightChars="-188" w:firstLine="420" w:firstLineChars="199"/>
        <w:rPr>
          <w:rFonts w:hint="eastAsia" w:ascii="仿宋" w:hAnsi="仿宋" w:eastAsia="仿宋" w:cs="仿宋"/>
          <w:b/>
          <w:bCs/>
        </w:rPr>
      </w:pPr>
      <w:r>
        <w:rPr>
          <w:rFonts w:hint="eastAsia" w:ascii="仿宋" w:hAnsi="仿宋" w:eastAsia="仿宋" w:cs="仿宋"/>
          <w:b/>
          <w:bCs/>
          <w:sz w:val="21"/>
          <w:szCs w:val="21"/>
        </w:rPr>
        <w:t>5、本自查表不得擅自删改。</w:t>
      </w:r>
    </w:p>
    <w:p>
      <w:pPr>
        <w:spacing w:line="360" w:lineRule="auto"/>
        <w:jc w:val="both"/>
        <w:rPr>
          <w:rFonts w:hint="eastAsia" w:ascii="仿宋" w:hAnsi="仿宋" w:eastAsia="仿宋" w:cs="仿宋"/>
          <w:sz w:val="24"/>
          <w:lang w:eastAsia="zh-CN"/>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3"/>
        <w:numPr>
          <w:ilvl w:val="0"/>
          <w:numId w:val="26"/>
        </w:numPr>
        <w:rPr>
          <w:rFonts w:hint="eastAsia" w:ascii="仿宋" w:hAnsi="仿宋" w:eastAsia="仿宋" w:cs="仿宋"/>
        </w:rPr>
        <w:sectPr>
          <w:pgSz w:w="11906" w:h="16839"/>
          <w:pgMar w:top="1431" w:right="1768" w:bottom="1150" w:left="1785" w:header="0" w:footer="989" w:gutter="0"/>
          <w:pgNumType w:fmt="decimal"/>
          <w:cols w:space="720" w:num="1"/>
        </w:sectPr>
      </w:pPr>
    </w:p>
    <w:p>
      <w:pPr>
        <w:pStyle w:val="23"/>
        <w:numPr>
          <w:ilvl w:val="0"/>
          <w:numId w:val="0"/>
        </w:numPr>
        <w:jc w:val="center"/>
        <w:rPr>
          <w:rFonts w:hint="eastAsia" w:ascii="仿宋" w:hAnsi="仿宋" w:eastAsia="仿宋" w:cs="仿宋"/>
        </w:rPr>
      </w:pPr>
      <w:bookmarkStart w:id="7" w:name="_Toc23284"/>
      <w:r>
        <w:rPr>
          <w:rFonts w:hint="eastAsia" w:ascii="仿宋" w:hAnsi="仿宋" w:eastAsia="仿宋" w:cs="仿宋"/>
        </w:rPr>
        <w:t>（</w:t>
      </w:r>
      <w:r>
        <w:rPr>
          <w:rFonts w:hint="eastAsia" w:ascii="仿宋" w:hAnsi="仿宋" w:eastAsia="仿宋" w:cs="仿宋"/>
          <w:lang w:val="en-US" w:eastAsia="zh-CN"/>
        </w:rPr>
        <w:t>二</w:t>
      </w:r>
      <w:r>
        <w:rPr>
          <w:rFonts w:hint="eastAsia" w:ascii="仿宋" w:hAnsi="仿宋" w:eastAsia="仿宋" w:cs="仿宋"/>
        </w:rPr>
        <w:t>）技术评审证明资料（如有）</w:t>
      </w:r>
      <w:bookmarkEnd w:id="7"/>
    </w:p>
    <w:p>
      <w:pPr>
        <w:numPr>
          <w:ilvl w:val="0"/>
          <w:numId w:val="0"/>
        </w:numPr>
        <w:shd w:val="clear" w:color="auto" w:fill="FFFFFF"/>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1、服务团队人员配备及经验证明资料</w:t>
      </w:r>
    </w:p>
    <w:p>
      <w:pPr>
        <w:widowControl/>
        <w:jc w:val="center"/>
        <w:rPr>
          <w:rFonts w:hint="eastAsia" w:ascii="仿宋" w:hAnsi="仿宋" w:eastAsia="仿宋" w:cs="仿宋"/>
          <w:b/>
          <w:sz w:val="32"/>
          <w:szCs w:val="32"/>
          <w:lang w:val="en-US" w:eastAsia="zh-CN"/>
        </w:rPr>
      </w:pPr>
    </w:p>
    <w:p>
      <w:pPr>
        <w:widowControl/>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服务团队人员清单</w:t>
      </w:r>
    </w:p>
    <w:p>
      <w:pPr>
        <w:numPr>
          <w:ilvl w:val="0"/>
          <w:numId w:val="0"/>
        </w:numPr>
        <w:shd w:val="clear" w:color="auto" w:fill="FFFFFF"/>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（表格格式供参考，响应供应商可根据实际情况调整）</w:t>
      </w:r>
    </w:p>
    <w:tbl>
      <w:tblPr>
        <w:tblStyle w:val="26"/>
        <w:tblpPr w:leftFromText="180" w:rightFromText="180" w:vertAnchor="text" w:horzAnchor="page" w:tblpX="1094" w:tblpY="522"/>
        <w:tblOverlap w:val="never"/>
        <w:tblW w:w="143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1275"/>
        <w:gridCol w:w="1673"/>
        <w:gridCol w:w="1414"/>
        <w:gridCol w:w="1555"/>
        <w:gridCol w:w="1473"/>
        <w:gridCol w:w="3216"/>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00"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275"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姓名</w:t>
            </w:r>
          </w:p>
        </w:tc>
        <w:tc>
          <w:tcPr>
            <w:tcW w:w="1673"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拟在本项目担任的职务</w:t>
            </w:r>
          </w:p>
        </w:tc>
        <w:tc>
          <w:tcPr>
            <w:tcW w:w="1414"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w:t>
            </w:r>
            <w:r>
              <w:rPr>
                <w:rFonts w:hint="eastAsia" w:ascii="仿宋" w:hAnsi="仿宋" w:eastAsia="仿宋" w:cs="仿宋"/>
                <w:b/>
                <w:bCs/>
                <w:sz w:val="28"/>
                <w:szCs w:val="28"/>
              </w:rPr>
              <w:t>年限</w:t>
            </w:r>
          </w:p>
        </w:tc>
        <w:tc>
          <w:tcPr>
            <w:tcW w:w="1555"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证书名称</w:t>
            </w:r>
          </w:p>
        </w:tc>
        <w:tc>
          <w:tcPr>
            <w:tcW w:w="1473" w:type="dxa"/>
            <w:noWrap w:val="0"/>
            <w:vAlign w:val="center"/>
          </w:tcPr>
          <w:p>
            <w:pPr>
              <w:pStyle w:val="43"/>
              <w:spacing w:before="81"/>
              <w:jc w:val="center"/>
              <w:rPr>
                <w:rFonts w:hint="eastAsia" w:ascii="仿宋" w:hAnsi="仿宋" w:eastAsia="仿宋" w:cs="仿宋"/>
                <w:b/>
                <w:bCs/>
                <w:snapToGrid w:val="0"/>
                <w:color w:val="000000"/>
                <w:kern w:val="0"/>
                <w:sz w:val="28"/>
                <w:szCs w:val="28"/>
                <w:lang w:eastAsia="zh-CN"/>
              </w:rPr>
            </w:pPr>
            <w:r>
              <w:rPr>
                <w:rFonts w:hint="eastAsia" w:ascii="仿宋" w:hAnsi="仿宋" w:eastAsia="仿宋" w:cs="仿宋"/>
                <w:b/>
                <w:bCs/>
                <w:sz w:val="28"/>
                <w:szCs w:val="28"/>
                <w:lang w:val="en-US" w:eastAsia="zh-CN"/>
              </w:rPr>
              <w:t>是否参加过类似项目</w:t>
            </w:r>
          </w:p>
        </w:tc>
        <w:tc>
          <w:tcPr>
            <w:tcW w:w="3216" w:type="dxa"/>
            <w:noWrap w:val="0"/>
            <w:vAlign w:val="center"/>
          </w:tcPr>
          <w:p>
            <w:pPr>
              <w:bidi w:val="0"/>
              <w:jc w:val="center"/>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z w:val="28"/>
                <w:szCs w:val="28"/>
              </w:rPr>
              <w:t>参加过的类似项目名称</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所担任的职务及完成时间</w:t>
            </w:r>
          </w:p>
        </w:tc>
        <w:tc>
          <w:tcPr>
            <w:tcW w:w="3267"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其他需要备注的信息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275" w:type="dxa"/>
            <w:noWrap w:val="0"/>
            <w:vAlign w:val="top"/>
          </w:tcPr>
          <w:p>
            <w:pPr>
              <w:pStyle w:val="43"/>
              <w:spacing w:before="81"/>
              <w:rPr>
                <w:rFonts w:hint="eastAsia" w:ascii="仿宋" w:hAnsi="仿宋" w:eastAsia="仿宋" w:cs="仿宋"/>
              </w:rPr>
            </w:pPr>
          </w:p>
        </w:tc>
        <w:tc>
          <w:tcPr>
            <w:tcW w:w="1673" w:type="dxa"/>
            <w:noWrap w:val="0"/>
            <w:vAlign w:val="center"/>
          </w:tcPr>
          <w:p>
            <w:pPr>
              <w:pStyle w:val="43"/>
              <w:spacing w:before="81"/>
              <w:rPr>
                <w:rFonts w:hint="default" w:ascii="仿宋" w:hAnsi="仿宋" w:eastAsia="仿宋" w:cs="仿宋"/>
                <w:lang w:val="en-US" w:eastAsia="zh-CN"/>
              </w:rPr>
            </w:pPr>
            <w:r>
              <w:rPr>
                <w:rFonts w:hint="eastAsia" w:ascii="仿宋" w:hAnsi="仿宋" w:eastAsia="仿宋" w:cs="仿宋"/>
                <w:lang w:val="en-US" w:eastAsia="zh-CN"/>
              </w:rPr>
              <w:t>项目经理</w:t>
            </w:r>
          </w:p>
        </w:tc>
        <w:tc>
          <w:tcPr>
            <w:tcW w:w="1414" w:type="dxa"/>
            <w:noWrap w:val="0"/>
            <w:vAlign w:val="top"/>
          </w:tcPr>
          <w:p>
            <w:pPr>
              <w:pStyle w:val="43"/>
              <w:spacing w:before="81"/>
              <w:rPr>
                <w:rFonts w:hint="eastAsia" w:ascii="仿宋" w:hAnsi="仿宋" w:eastAsia="仿宋" w:cs="仿宋"/>
                <w:lang w:eastAsia="zh-CN"/>
              </w:rPr>
            </w:pPr>
          </w:p>
        </w:tc>
        <w:tc>
          <w:tcPr>
            <w:tcW w:w="1555" w:type="dxa"/>
            <w:noWrap w:val="0"/>
            <w:vAlign w:val="top"/>
          </w:tcPr>
          <w:p>
            <w:pPr>
              <w:pStyle w:val="43"/>
              <w:spacing w:before="81"/>
              <w:rPr>
                <w:rFonts w:hint="eastAsia" w:ascii="仿宋" w:hAnsi="仿宋" w:eastAsia="仿宋" w:cs="仿宋"/>
              </w:rPr>
            </w:pPr>
          </w:p>
        </w:tc>
        <w:tc>
          <w:tcPr>
            <w:tcW w:w="1473" w:type="dxa"/>
            <w:noWrap w:val="0"/>
            <w:vAlign w:val="top"/>
          </w:tcPr>
          <w:p>
            <w:pPr>
              <w:pStyle w:val="43"/>
              <w:spacing w:before="81"/>
              <w:rPr>
                <w:rFonts w:hint="eastAsia" w:ascii="仿宋" w:hAnsi="仿宋" w:eastAsia="仿宋" w:cs="仿宋"/>
                <w:snapToGrid w:val="0"/>
                <w:color w:val="000000"/>
                <w:kern w:val="0"/>
                <w:sz w:val="22"/>
                <w:szCs w:val="22"/>
                <w:lang w:eastAsia="en-US"/>
              </w:rPr>
            </w:pPr>
            <w:r>
              <w:rPr>
                <w:rFonts w:hint="eastAsia" w:ascii="仿宋" w:hAnsi="仿宋" w:eastAsia="仿宋" w:cs="仿宋"/>
                <w:lang w:eastAsia="zh-CN"/>
              </w:rPr>
              <w:t>□</w:t>
            </w:r>
            <w:r>
              <w:rPr>
                <w:rFonts w:hint="eastAsia" w:ascii="仿宋" w:hAnsi="仿宋" w:eastAsia="仿宋" w:cs="仿宋"/>
              </w:rPr>
              <w:t>是 □否</w:t>
            </w:r>
          </w:p>
        </w:tc>
        <w:tc>
          <w:tcPr>
            <w:tcW w:w="3216" w:type="dxa"/>
            <w:noWrap w:val="0"/>
            <w:vAlign w:val="top"/>
          </w:tcPr>
          <w:p>
            <w:pPr>
              <w:pStyle w:val="43"/>
              <w:spacing w:before="81"/>
              <w:rPr>
                <w:rFonts w:hint="eastAsia" w:ascii="仿宋" w:hAnsi="仿宋" w:eastAsia="仿宋" w:cs="仿宋"/>
              </w:rPr>
            </w:pPr>
          </w:p>
        </w:tc>
        <w:tc>
          <w:tcPr>
            <w:tcW w:w="3267" w:type="dxa"/>
            <w:noWrap w:val="0"/>
            <w:vAlign w:val="top"/>
          </w:tcPr>
          <w:p>
            <w:pPr>
              <w:pStyle w:val="43"/>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275" w:type="dxa"/>
            <w:noWrap w:val="0"/>
            <w:vAlign w:val="top"/>
          </w:tcPr>
          <w:p>
            <w:pPr>
              <w:pStyle w:val="43"/>
              <w:spacing w:before="81"/>
              <w:rPr>
                <w:rFonts w:hint="eastAsia" w:ascii="仿宋" w:hAnsi="仿宋" w:eastAsia="仿宋" w:cs="仿宋"/>
              </w:rPr>
            </w:pPr>
          </w:p>
        </w:tc>
        <w:tc>
          <w:tcPr>
            <w:tcW w:w="1673" w:type="dxa"/>
            <w:noWrap w:val="0"/>
            <w:vAlign w:val="center"/>
          </w:tcPr>
          <w:p>
            <w:pPr>
              <w:pStyle w:val="43"/>
              <w:spacing w:before="81"/>
              <w:rPr>
                <w:rFonts w:hint="eastAsia" w:ascii="仿宋" w:hAnsi="仿宋" w:eastAsia="仿宋" w:cs="仿宋"/>
                <w:lang w:val="en-US" w:eastAsia="zh-CN"/>
              </w:rPr>
            </w:pPr>
            <w:r>
              <w:rPr>
                <w:rFonts w:hint="eastAsia" w:ascii="仿宋" w:hAnsi="仿宋" w:eastAsia="仿宋" w:cs="仿宋"/>
                <w:lang w:val="en-US" w:eastAsia="zh-CN"/>
              </w:rPr>
              <w:t>XXX</w:t>
            </w:r>
            <w:r>
              <w:rPr>
                <w:rFonts w:hint="eastAsia" w:ascii="仿宋" w:hAnsi="仿宋" w:eastAsia="仿宋" w:cs="仿宋"/>
                <w:lang w:eastAsia="zh-CN"/>
              </w:rPr>
              <w:t>技术人员</w:t>
            </w:r>
          </w:p>
        </w:tc>
        <w:tc>
          <w:tcPr>
            <w:tcW w:w="1414" w:type="dxa"/>
            <w:noWrap w:val="0"/>
            <w:vAlign w:val="top"/>
          </w:tcPr>
          <w:p>
            <w:pPr>
              <w:pStyle w:val="43"/>
              <w:spacing w:before="81"/>
              <w:rPr>
                <w:rFonts w:hint="eastAsia" w:ascii="仿宋" w:hAnsi="仿宋" w:eastAsia="仿宋" w:cs="仿宋"/>
                <w:lang w:eastAsia="zh-CN"/>
              </w:rPr>
            </w:pPr>
          </w:p>
        </w:tc>
        <w:tc>
          <w:tcPr>
            <w:tcW w:w="1555" w:type="dxa"/>
            <w:noWrap w:val="0"/>
            <w:vAlign w:val="top"/>
          </w:tcPr>
          <w:p>
            <w:pPr>
              <w:pStyle w:val="43"/>
              <w:spacing w:before="81"/>
              <w:rPr>
                <w:rFonts w:hint="eastAsia" w:ascii="仿宋" w:hAnsi="仿宋" w:eastAsia="仿宋" w:cs="仿宋"/>
              </w:rPr>
            </w:pPr>
          </w:p>
        </w:tc>
        <w:tc>
          <w:tcPr>
            <w:tcW w:w="1473" w:type="dxa"/>
            <w:shd w:val="clear" w:color="auto" w:fill="auto"/>
            <w:noWrap w:val="0"/>
            <w:vAlign w:val="top"/>
          </w:tcPr>
          <w:p>
            <w:pPr>
              <w:pStyle w:val="43"/>
              <w:spacing w:before="81"/>
              <w:rPr>
                <w:rFonts w:hint="default" w:ascii="仿宋" w:hAnsi="仿宋" w:eastAsia="仿宋" w:cs="仿宋"/>
                <w:snapToGrid w:val="0"/>
                <w:color w:val="000000"/>
                <w:kern w:val="0"/>
                <w:sz w:val="22"/>
                <w:szCs w:val="22"/>
                <w:lang w:val="en-US" w:eastAsia="zh-CN"/>
              </w:rPr>
            </w:pPr>
            <w:r>
              <w:rPr>
                <w:rFonts w:hint="eastAsia" w:ascii="仿宋" w:hAnsi="仿宋" w:eastAsia="仿宋" w:cs="仿宋"/>
                <w:snapToGrid w:val="0"/>
                <w:color w:val="000000"/>
                <w:kern w:val="0"/>
                <w:sz w:val="22"/>
                <w:szCs w:val="22"/>
                <w:lang w:val="en-US" w:eastAsia="zh-CN"/>
              </w:rPr>
              <w:t>无该项要求</w:t>
            </w:r>
          </w:p>
        </w:tc>
        <w:tc>
          <w:tcPr>
            <w:tcW w:w="3216" w:type="dxa"/>
            <w:shd w:val="clear" w:color="auto" w:fill="auto"/>
            <w:noWrap w:val="0"/>
            <w:vAlign w:val="top"/>
          </w:tcPr>
          <w:p>
            <w:pPr>
              <w:spacing w:before="81"/>
              <w:rPr>
                <w:rFonts w:hint="eastAsia" w:ascii="仿宋" w:hAnsi="仿宋" w:eastAsia="仿宋" w:cs="仿宋"/>
              </w:rPr>
            </w:pPr>
            <w:r>
              <w:rPr>
                <w:rFonts w:hint="eastAsia" w:ascii="仿宋" w:hAnsi="仿宋" w:eastAsia="仿宋" w:cs="仿宋"/>
                <w:snapToGrid w:val="0"/>
                <w:color w:val="000000"/>
                <w:kern w:val="0"/>
                <w:sz w:val="22"/>
                <w:szCs w:val="22"/>
                <w:lang w:val="en-US" w:eastAsia="zh-CN"/>
              </w:rPr>
              <w:t>无该项要求</w:t>
            </w:r>
          </w:p>
        </w:tc>
        <w:tc>
          <w:tcPr>
            <w:tcW w:w="3267" w:type="dxa"/>
            <w:noWrap w:val="0"/>
            <w:vAlign w:val="top"/>
          </w:tcPr>
          <w:p>
            <w:pPr>
              <w:pStyle w:val="43"/>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275" w:type="dxa"/>
            <w:noWrap w:val="0"/>
            <w:vAlign w:val="top"/>
          </w:tcPr>
          <w:p>
            <w:pPr>
              <w:pStyle w:val="43"/>
              <w:spacing w:before="81"/>
              <w:rPr>
                <w:rFonts w:hint="eastAsia" w:ascii="仿宋" w:hAnsi="仿宋" w:eastAsia="仿宋" w:cs="仿宋"/>
              </w:rPr>
            </w:pPr>
          </w:p>
        </w:tc>
        <w:tc>
          <w:tcPr>
            <w:tcW w:w="1673" w:type="dxa"/>
            <w:noWrap w:val="0"/>
            <w:vAlign w:val="center"/>
          </w:tcPr>
          <w:p>
            <w:pPr>
              <w:pStyle w:val="43"/>
              <w:spacing w:before="81"/>
              <w:rPr>
                <w:rFonts w:hint="eastAsia" w:ascii="仿宋" w:hAnsi="仿宋" w:eastAsia="仿宋" w:cs="仿宋"/>
                <w:lang w:eastAsia="zh-CN"/>
              </w:rPr>
            </w:pPr>
            <w:r>
              <w:rPr>
                <w:rFonts w:hint="eastAsia" w:ascii="仿宋" w:hAnsi="仿宋" w:eastAsia="仿宋" w:cs="仿宋"/>
                <w:lang w:val="en-US" w:eastAsia="zh-CN"/>
              </w:rPr>
              <w:t>XXX</w:t>
            </w:r>
            <w:r>
              <w:rPr>
                <w:rFonts w:hint="eastAsia" w:ascii="仿宋" w:hAnsi="仿宋" w:eastAsia="仿宋" w:cs="仿宋"/>
                <w:lang w:eastAsia="zh-CN"/>
              </w:rPr>
              <w:t>技术人员</w:t>
            </w:r>
          </w:p>
        </w:tc>
        <w:tc>
          <w:tcPr>
            <w:tcW w:w="1414" w:type="dxa"/>
            <w:noWrap w:val="0"/>
            <w:vAlign w:val="top"/>
          </w:tcPr>
          <w:p>
            <w:pPr>
              <w:pStyle w:val="43"/>
              <w:spacing w:before="81"/>
              <w:rPr>
                <w:rFonts w:hint="eastAsia" w:ascii="仿宋" w:hAnsi="仿宋" w:eastAsia="仿宋" w:cs="仿宋"/>
                <w:lang w:eastAsia="zh-CN"/>
              </w:rPr>
            </w:pPr>
          </w:p>
        </w:tc>
        <w:tc>
          <w:tcPr>
            <w:tcW w:w="1555" w:type="dxa"/>
            <w:noWrap w:val="0"/>
            <w:vAlign w:val="top"/>
          </w:tcPr>
          <w:p>
            <w:pPr>
              <w:pStyle w:val="43"/>
              <w:spacing w:before="81"/>
              <w:rPr>
                <w:rFonts w:hint="eastAsia" w:ascii="仿宋" w:hAnsi="仿宋" w:eastAsia="仿宋" w:cs="仿宋"/>
              </w:rPr>
            </w:pPr>
          </w:p>
        </w:tc>
        <w:tc>
          <w:tcPr>
            <w:tcW w:w="1473" w:type="dxa"/>
            <w:shd w:val="clear" w:color="auto" w:fill="auto"/>
            <w:noWrap w:val="0"/>
            <w:vAlign w:val="top"/>
          </w:tcPr>
          <w:p>
            <w:pPr>
              <w:spacing w:before="81"/>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kern w:val="0"/>
                <w:sz w:val="22"/>
                <w:szCs w:val="22"/>
                <w:lang w:val="en-US" w:eastAsia="zh-CN"/>
              </w:rPr>
              <w:t>无该项要求</w:t>
            </w:r>
          </w:p>
        </w:tc>
        <w:tc>
          <w:tcPr>
            <w:tcW w:w="3216" w:type="dxa"/>
            <w:shd w:val="clear" w:color="auto" w:fill="auto"/>
            <w:noWrap w:val="0"/>
            <w:vAlign w:val="top"/>
          </w:tcPr>
          <w:p>
            <w:pPr>
              <w:spacing w:before="81"/>
              <w:rPr>
                <w:rFonts w:hint="eastAsia" w:ascii="仿宋" w:hAnsi="仿宋" w:eastAsia="仿宋" w:cs="仿宋"/>
              </w:rPr>
            </w:pPr>
            <w:r>
              <w:rPr>
                <w:rFonts w:hint="eastAsia" w:ascii="仿宋" w:hAnsi="仿宋" w:eastAsia="仿宋" w:cs="仿宋"/>
                <w:snapToGrid w:val="0"/>
                <w:color w:val="000000"/>
                <w:kern w:val="0"/>
                <w:sz w:val="22"/>
                <w:szCs w:val="22"/>
                <w:lang w:val="en-US" w:eastAsia="zh-CN"/>
              </w:rPr>
              <w:t>无该项要求</w:t>
            </w:r>
          </w:p>
        </w:tc>
        <w:tc>
          <w:tcPr>
            <w:tcW w:w="3267" w:type="dxa"/>
            <w:noWrap w:val="0"/>
            <w:vAlign w:val="top"/>
          </w:tcPr>
          <w:p>
            <w:pPr>
              <w:pStyle w:val="43"/>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275" w:type="dxa"/>
            <w:noWrap w:val="0"/>
            <w:vAlign w:val="top"/>
          </w:tcPr>
          <w:p>
            <w:pPr>
              <w:pStyle w:val="43"/>
              <w:spacing w:before="81"/>
              <w:rPr>
                <w:rFonts w:hint="eastAsia" w:ascii="仿宋" w:hAnsi="仿宋" w:eastAsia="仿宋" w:cs="仿宋"/>
              </w:rPr>
            </w:pPr>
          </w:p>
        </w:tc>
        <w:tc>
          <w:tcPr>
            <w:tcW w:w="1673" w:type="dxa"/>
            <w:noWrap w:val="0"/>
            <w:vAlign w:val="center"/>
          </w:tcPr>
          <w:p>
            <w:pPr>
              <w:pStyle w:val="43"/>
              <w:spacing w:before="81"/>
              <w:rPr>
                <w:rFonts w:hint="eastAsia" w:ascii="仿宋" w:hAnsi="仿宋" w:eastAsia="仿宋" w:cs="仿宋"/>
              </w:rPr>
            </w:pPr>
            <w:r>
              <w:rPr>
                <w:rFonts w:hint="eastAsia" w:ascii="仿宋" w:hAnsi="仿宋" w:eastAsia="仿宋" w:cs="仿宋"/>
                <w:lang w:val="en-US" w:eastAsia="zh-CN"/>
              </w:rPr>
              <w:t>XXX</w:t>
            </w:r>
            <w:r>
              <w:rPr>
                <w:rFonts w:hint="eastAsia" w:ascii="仿宋" w:hAnsi="仿宋" w:eastAsia="仿宋" w:cs="仿宋"/>
              </w:rPr>
              <w:t>技术人员</w:t>
            </w:r>
          </w:p>
        </w:tc>
        <w:tc>
          <w:tcPr>
            <w:tcW w:w="1414" w:type="dxa"/>
            <w:noWrap w:val="0"/>
            <w:vAlign w:val="top"/>
          </w:tcPr>
          <w:p>
            <w:pPr>
              <w:pStyle w:val="43"/>
              <w:spacing w:before="81"/>
              <w:rPr>
                <w:rFonts w:hint="eastAsia" w:ascii="仿宋" w:hAnsi="仿宋" w:eastAsia="仿宋" w:cs="仿宋"/>
              </w:rPr>
            </w:pPr>
          </w:p>
        </w:tc>
        <w:tc>
          <w:tcPr>
            <w:tcW w:w="1555" w:type="dxa"/>
            <w:noWrap w:val="0"/>
            <w:vAlign w:val="top"/>
          </w:tcPr>
          <w:p>
            <w:pPr>
              <w:spacing w:before="81"/>
              <w:rPr>
                <w:rFonts w:hint="eastAsia" w:ascii="仿宋" w:hAnsi="仿宋" w:eastAsia="仿宋" w:cs="仿宋"/>
              </w:rPr>
            </w:pPr>
          </w:p>
        </w:tc>
        <w:tc>
          <w:tcPr>
            <w:tcW w:w="1473" w:type="dxa"/>
            <w:shd w:val="clear" w:color="auto" w:fill="auto"/>
            <w:noWrap w:val="0"/>
            <w:vAlign w:val="top"/>
          </w:tcPr>
          <w:p>
            <w:pPr>
              <w:spacing w:before="81"/>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2"/>
                <w:szCs w:val="22"/>
                <w:lang w:val="en-US" w:eastAsia="zh-CN"/>
              </w:rPr>
              <w:t>无该项要求</w:t>
            </w:r>
          </w:p>
        </w:tc>
        <w:tc>
          <w:tcPr>
            <w:tcW w:w="3216" w:type="dxa"/>
            <w:shd w:val="clear" w:color="auto" w:fill="auto"/>
            <w:noWrap w:val="0"/>
            <w:vAlign w:val="top"/>
          </w:tcPr>
          <w:p>
            <w:pPr>
              <w:spacing w:before="81"/>
              <w:rPr>
                <w:rFonts w:hint="eastAsia" w:ascii="仿宋" w:hAnsi="仿宋" w:eastAsia="仿宋" w:cs="仿宋"/>
              </w:rPr>
            </w:pPr>
            <w:r>
              <w:rPr>
                <w:rFonts w:hint="eastAsia" w:ascii="仿宋" w:hAnsi="仿宋" w:eastAsia="仿宋" w:cs="仿宋"/>
                <w:snapToGrid w:val="0"/>
                <w:color w:val="000000"/>
                <w:kern w:val="0"/>
                <w:sz w:val="22"/>
                <w:szCs w:val="22"/>
                <w:lang w:val="en-US" w:eastAsia="zh-CN"/>
              </w:rPr>
              <w:t>无该项要求</w:t>
            </w:r>
          </w:p>
        </w:tc>
        <w:tc>
          <w:tcPr>
            <w:tcW w:w="3267" w:type="dxa"/>
            <w:noWrap w:val="0"/>
            <w:vAlign w:val="top"/>
          </w:tcPr>
          <w:p>
            <w:pPr>
              <w:pStyle w:val="43"/>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275" w:type="dxa"/>
            <w:noWrap w:val="0"/>
            <w:vAlign w:val="top"/>
          </w:tcPr>
          <w:p>
            <w:pPr>
              <w:pStyle w:val="43"/>
              <w:spacing w:before="81"/>
              <w:rPr>
                <w:rFonts w:hint="eastAsia" w:ascii="仿宋" w:hAnsi="仿宋" w:eastAsia="仿宋" w:cs="仿宋"/>
              </w:rPr>
            </w:pPr>
          </w:p>
        </w:tc>
        <w:tc>
          <w:tcPr>
            <w:tcW w:w="1673" w:type="dxa"/>
            <w:noWrap w:val="0"/>
            <w:vAlign w:val="top"/>
          </w:tcPr>
          <w:p>
            <w:pPr>
              <w:pStyle w:val="43"/>
              <w:spacing w:before="81"/>
              <w:rPr>
                <w:rFonts w:hint="eastAsia" w:ascii="仿宋" w:hAnsi="仿宋" w:eastAsia="仿宋" w:cs="仿宋"/>
                <w:lang w:val="en-US" w:eastAsia="zh-CN"/>
              </w:rPr>
            </w:pPr>
            <w:r>
              <w:rPr>
                <w:rFonts w:hint="eastAsia" w:ascii="仿宋" w:hAnsi="仿宋" w:eastAsia="仿宋" w:cs="仿宋"/>
                <w:lang w:val="en-US" w:eastAsia="zh-CN"/>
              </w:rPr>
              <w:t>……</w:t>
            </w:r>
          </w:p>
        </w:tc>
        <w:tc>
          <w:tcPr>
            <w:tcW w:w="1414" w:type="dxa"/>
            <w:noWrap w:val="0"/>
            <w:vAlign w:val="top"/>
          </w:tcPr>
          <w:p>
            <w:pPr>
              <w:pStyle w:val="43"/>
              <w:spacing w:before="81"/>
              <w:rPr>
                <w:rFonts w:hint="eastAsia" w:ascii="仿宋" w:hAnsi="仿宋" w:eastAsia="仿宋" w:cs="仿宋"/>
              </w:rPr>
            </w:pPr>
          </w:p>
        </w:tc>
        <w:tc>
          <w:tcPr>
            <w:tcW w:w="1555" w:type="dxa"/>
            <w:noWrap w:val="0"/>
            <w:vAlign w:val="top"/>
          </w:tcPr>
          <w:p>
            <w:pPr>
              <w:spacing w:before="81"/>
              <w:rPr>
                <w:rFonts w:hint="eastAsia" w:ascii="仿宋" w:hAnsi="仿宋" w:eastAsia="仿宋" w:cs="仿宋"/>
              </w:rPr>
            </w:pPr>
          </w:p>
        </w:tc>
        <w:tc>
          <w:tcPr>
            <w:tcW w:w="1473" w:type="dxa"/>
            <w:shd w:val="clear" w:color="auto" w:fill="auto"/>
            <w:noWrap w:val="0"/>
            <w:vAlign w:val="top"/>
          </w:tcPr>
          <w:p>
            <w:pPr>
              <w:spacing w:before="81"/>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2"/>
                <w:szCs w:val="22"/>
                <w:lang w:val="en-US" w:eastAsia="zh-CN"/>
              </w:rPr>
              <w:t>无该项要求</w:t>
            </w:r>
          </w:p>
        </w:tc>
        <w:tc>
          <w:tcPr>
            <w:tcW w:w="3216" w:type="dxa"/>
            <w:shd w:val="clear" w:color="auto" w:fill="auto"/>
            <w:noWrap w:val="0"/>
            <w:vAlign w:val="top"/>
          </w:tcPr>
          <w:p>
            <w:pPr>
              <w:spacing w:before="81"/>
              <w:rPr>
                <w:rFonts w:hint="eastAsia" w:ascii="仿宋" w:hAnsi="仿宋" w:eastAsia="仿宋" w:cs="仿宋"/>
              </w:rPr>
            </w:pPr>
            <w:r>
              <w:rPr>
                <w:rFonts w:hint="eastAsia" w:ascii="仿宋" w:hAnsi="仿宋" w:eastAsia="仿宋" w:cs="仿宋"/>
                <w:snapToGrid w:val="0"/>
                <w:color w:val="000000"/>
                <w:kern w:val="0"/>
                <w:sz w:val="22"/>
                <w:szCs w:val="22"/>
                <w:lang w:val="en-US" w:eastAsia="zh-CN"/>
              </w:rPr>
              <w:t>无该项要求</w:t>
            </w:r>
          </w:p>
        </w:tc>
        <w:tc>
          <w:tcPr>
            <w:tcW w:w="3267" w:type="dxa"/>
            <w:noWrap w:val="0"/>
            <w:vAlign w:val="top"/>
          </w:tcPr>
          <w:p>
            <w:pPr>
              <w:pStyle w:val="43"/>
              <w:spacing w:before="81"/>
              <w:rPr>
                <w:rFonts w:hint="eastAsia" w:ascii="仿宋" w:hAnsi="仿宋" w:eastAsia="仿宋" w:cs="仿宋"/>
              </w:rPr>
            </w:pPr>
          </w:p>
        </w:tc>
      </w:tr>
    </w:tbl>
    <w:p>
      <w:pPr>
        <w:pStyle w:val="33"/>
        <w:ind w:left="0" w:leftChars="0" w:firstLine="0" w:firstLineChars="0"/>
        <w:rPr>
          <w:rFonts w:hint="eastAsia" w:ascii="仿宋" w:hAnsi="仿宋" w:eastAsia="仿宋" w:cs="仿宋"/>
          <w:b/>
          <w:bCs/>
          <w:kern w:val="0"/>
          <w:sz w:val="22"/>
          <w:szCs w:val="22"/>
          <w:lang w:val="en-US" w:eastAsia="zh-CN" w:bidi="ar-SA"/>
        </w:rPr>
      </w:pPr>
    </w:p>
    <w:p>
      <w:pPr>
        <w:pStyle w:val="33"/>
        <w:ind w:left="0" w:leftChars="0" w:firstLine="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注：</w:t>
      </w:r>
    </w:p>
    <w:p>
      <w:pPr>
        <w:pStyle w:val="33"/>
        <w:numPr>
          <w:ilvl w:val="0"/>
          <w:numId w:val="27"/>
        </w:numPr>
        <w:ind w:left="-2" w:leftChars="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响应供应商应如实填写拟参与本项目的服务团队人员情况，并按采购需求书要求在本清单后附相关人员的资质及经验证明文件复印件。</w:t>
      </w:r>
      <w:r>
        <w:rPr>
          <w:rFonts w:hint="eastAsia" w:ascii="仿宋" w:hAnsi="仿宋" w:eastAsia="仿宋" w:cs="仿宋"/>
          <w:b/>
          <w:bCs/>
          <w:sz w:val="21"/>
          <w:szCs w:val="21"/>
          <w:lang w:val="en-US" w:eastAsia="zh-CN"/>
        </w:rPr>
        <w:t>响应供应商</w:t>
      </w:r>
      <w:r>
        <w:rPr>
          <w:rFonts w:hint="eastAsia" w:ascii="仿宋" w:hAnsi="仿宋" w:eastAsia="仿宋" w:cs="仿宋"/>
          <w:b/>
          <w:bCs/>
          <w:kern w:val="0"/>
          <w:sz w:val="22"/>
          <w:szCs w:val="22"/>
          <w:lang w:val="en-US" w:eastAsia="zh-CN" w:bidi="ar-SA"/>
        </w:rPr>
        <w:t>承诺相关人员均为响应供应商的在职员工，不存在资质挂靠情形。</w:t>
      </w:r>
    </w:p>
    <w:p>
      <w:pPr>
        <w:pStyle w:val="33"/>
        <w:numPr>
          <w:ilvl w:val="0"/>
          <w:numId w:val="27"/>
        </w:numPr>
        <w:ind w:left="-2" w:leftChars="0" w:right="-395" w:rightChars="-188" w:firstLine="422" w:firstLineChars="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响应供应商承诺以上响应情况属实，如有虚假响应，同意采购人将响应供应商的本次响应作无效响应处理。</w:t>
      </w:r>
    </w:p>
    <w:p>
      <w:pPr>
        <w:pStyle w:val="33"/>
        <w:numPr>
          <w:ilvl w:val="0"/>
          <w:numId w:val="27"/>
        </w:numPr>
        <w:ind w:left="-2" w:leftChars="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所有资料均应加盖公章。</w:t>
      </w:r>
    </w:p>
    <w:p>
      <w:pPr>
        <w:spacing w:line="360" w:lineRule="auto"/>
        <w:ind w:firstLine="480" w:firstLineChars="200"/>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ind w:firstLine="3600" w:firstLineChars="1500"/>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b/>
          <w:sz w:val="32"/>
          <w:szCs w:val="32"/>
          <w:lang w:val="en-US" w:eastAsia="zh-CN"/>
        </w:rPr>
        <w:sectPr>
          <w:pgSz w:w="16839" w:h="11906" w:orient="landscape"/>
          <w:pgMar w:top="720" w:right="1419" w:bottom="720" w:left="1140"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numPr>
          <w:ilvl w:val="0"/>
          <w:numId w:val="0"/>
        </w:num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2、服务响应速度承诺函</w:t>
      </w:r>
    </w:p>
    <w:p>
      <w:pPr>
        <w:pStyle w:val="33"/>
        <w:ind w:firstLine="480"/>
        <w:rPr>
          <w:rFonts w:hint="eastAsia" w:ascii="仿宋" w:hAnsi="仿宋" w:eastAsia="仿宋" w:cs="仿宋"/>
          <w:sz w:val="24"/>
          <w:szCs w:val="28"/>
          <w:lang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b w:val="0"/>
          <w:bCs w:val="0"/>
          <w:sz w:val="24"/>
          <w:szCs w:val="28"/>
          <w:u w:val="none"/>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w:t>
      </w:r>
      <w:r>
        <w:rPr>
          <w:rFonts w:hint="eastAsia" w:ascii="仿宋" w:hAnsi="仿宋" w:eastAsia="仿宋" w:cs="仿宋"/>
          <w:sz w:val="24"/>
          <w:szCs w:val="28"/>
          <w:lang w:val="en-US" w:eastAsia="zh-CN"/>
        </w:rPr>
        <w:t>能会</w:t>
      </w:r>
      <w:r>
        <w:rPr>
          <w:rFonts w:hint="eastAsia" w:ascii="仿宋" w:hAnsi="仿宋" w:eastAsia="仿宋" w:cs="仿宋"/>
          <w:sz w:val="24"/>
          <w:szCs w:val="28"/>
        </w:rPr>
        <w:t>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sz w:val="24"/>
          <w:szCs w:val="28"/>
        </w:rPr>
        <w:t>。</w:t>
      </w:r>
      <w:r>
        <w:rPr>
          <w:rFonts w:hint="eastAsia" w:ascii="仿宋" w:hAnsi="仿宋" w:eastAsia="仿宋" w:cs="仿宋"/>
          <w:sz w:val="24"/>
          <w:szCs w:val="28"/>
          <w:lang w:eastAsia="zh-CN"/>
        </w:rPr>
        <w:t>）</w:t>
      </w:r>
    </w:p>
    <w:p>
      <w:pPr>
        <w:pStyle w:val="33"/>
        <w:ind w:firstLine="480"/>
        <w:rPr>
          <w:rFonts w:hint="eastAsia" w:ascii="仿宋" w:hAnsi="仿宋" w:eastAsia="仿宋" w:cs="仿宋"/>
          <w:sz w:val="24"/>
          <w:szCs w:val="28"/>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adjustRightInd w:val="0"/>
        <w:snapToGrid w:val="0"/>
        <w:spacing w:line="300" w:lineRule="auto"/>
        <w:ind w:firstLine="537" w:firstLineChars="224"/>
        <w:jc w:val="center"/>
        <w:rPr>
          <w:rFonts w:hint="eastAsia" w:ascii="仿宋" w:hAnsi="仿宋" w:eastAsia="仿宋" w:cs="仿宋"/>
          <w:color w:val="000000"/>
          <w:sz w:val="24"/>
          <w:szCs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000000"/>
          <w:sz w:val="24"/>
          <w:szCs w:val="24"/>
          <w:lang w:val="en-US" w:eastAsia="zh-CN"/>
        </w:rPr>
        <w:t>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bidi w:val="0"/>
        <w:rPr>
          <w:rFonts w:hint="eastAsia" w:ascii="仿宋" w:hAnsi="仿宋" w:eastAsia="仿宋" w:cs="仿宋"/>
          <w:b/>
          <w:bCs/>
          <w:sz w:val="30"/>
          <w:szCs w:val="30"/>
        </w:rPr>
      </w:pPr>
    </w:p>
    <w:p>
      <w:pPr>
        <w:pStyle w:val="2"/>
        <w:rPr>
          <w:rFonts w:hint="eastAsia"/>
        </w:rPr>
      </w:pPr>
    </w:p>
    <w:p>
      <w:pPr>
        <w:pStyle w:val="10"/>
        <w:rPr>
          <w:rFonts w:hint="eastAsia" w:ascii="仿宋" w:hAnsi="仿宋" w:eastAsia="仿宋" w:cs="仿宋"/>
          <w:b/>
          <w:sz w:val="32"/>
          <w:szCs w:val="32"/>
          <w:lang w:val="en-US" w:eastAsia="zh-CN"/>
        </w:rPr>
      </w:pPr>
    </w:p>
    <w:p>
      <w:pPr>
        <w:rPr>
          <w:rFonts w:hint="eastAsia" w:ascii="仿宋" w:hAnsi="仿宋" w:eastAsia="仿宋" w:cs="仿宋"/>
          <w:lang w:val="en-US" w:eastAsia="zh-CN"/>
        </w:rPr>
      </w:pPr>
    </w:p>
    <w:p>
      <w:pPr>
        <w:numPr>
          <w:ilvl w:val="0"/>
          <w:numId w:val="0"/>
        </w:num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3、维保服务方案</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3"/>
        <w:ind w:firstLine="480"/>
        <w:rPr>
          <w:rFonts w:hint="eastAsia" w:ascii="仿宋" w:hAnsi="仿宋" w:eastAsia="仿宋" w:cs="仿宋"/>
          <w:sz w:val="24"/>
          <w:szCs w:val="28"/>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
        <w:tabs>
          <w:tab w:val="left" w:pos="900"/>
        </w:tabs>
        <w:adjustRightInd w:val="0"/>
        <w:snapToGrid w:val="0"/>
        <w:spacing w:line="360" w:lineRule="auto"/>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pStyle w:val="2"/>
        <w:rPr>
          <w:rFonts w:hint="eastAsia"/>
        </w:rPr>
      </w:pPr>
    </w:p>
    <w:p>
      <w:pPr>
        <w:pStyle w:val="10"/>
        <w:rPr>
          <w:rFonts w:hint="eastAsia" w:ascii="仿宋" w:hAnsi="仿宋" w:eastAsia="仿宋" w:cs="仿宋"/>
          <w:color w:val="000000"/>
          <w:sz w:val="24"/>
          <w:szCs w:val="24"/>
        </w:rPr>
      </w:pPr>
    </w:p>
    <w:p>
      <w:pPr>
        <w:pStyle w:val="10"/>
        <w:rPr>
          <w:rFonts w:hint="eastAsia" w:ascii="仿宋" w:hAnsi="仿宋" w:eastAsia="仿宋" w:cs="仿宋"/>
          <w:color w:val="000000"/>
          <w:sz w:val="24"/>
          <w:szCs w:val="24"/>
        </w:rPr>
      </w:pPr>
    </w:p>
    <w:p>
      <w:pPr>
        <w:pStyle w:val="10"/>
        <w:rPr>
          <w:rFonts w:hint="eastAsia" w:ascii="仿宋" w:hAnsi="仿宋" w:eastAsia="仿宋" w:cs="仿宋"/>
          <w:color w:val="000000"/>
          <w:sz w:val="24"/>
          <w:szCs w:val="24"/>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4、应急预案</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textAlignment w:val="auto"/>
        <w:rPr>
          <w:rFonts w:hint="eastAsia" w:ascii="仿宋" w:hAnsi="仿宋" w:eastAsia="仿宋" w:cs="仿宋"/>
          <w:color w:val="auto"/>
          <w:sz w:val="28"/>
          <w:szCs w:val="28"/>
          <w:lang w:eastAsia="zh-CN"/>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5、质量保证措施</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sz w:val="28"/>
          <w:szCs w:val="28"/>
          <w:lang w:val="en-GB" w:eastAsia="zh-CN"/>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sz w:val="28"/>
          <w:szCs w:val="28"/>
          <w:lang w:val="en-GB" w:eastAsia="zh-CN"/>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法定代表人/授权代表（签章）：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日期：    年    月    日</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3"/>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GB" w:eastAsia="zh-CN"/>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6、安全生产措施</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GB" w:eastAsia="zh-CN"/>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法定代表人/授权代表（签章）：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日期：    年    月    日</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p>
    <w:p>
      <w:pPr>
        <w:pStyle w:val="33"/>
        <w:ind w:left="0" w:leftChars="0" w:firstLine="0" w:firstLineChars="0"/>
        <w:rPr>
          <w:rFonts w:hint="eastAsia" w:ascii="仿宋" w:hAnsi="仿宋" w:eastAsia="仿宋" w:cs="仿宋"/>
          <w:sz w:val="28"/>
          <w:szCs w:val="28"/>
          <w:lang w:val="en-GB"/>
        </w:rPr>
      </w:pPr>
    </w:p>
    <w:p>
      <w:pPr>
        <w:rPr>
          <w:rFonts w:hint="eastAsia" w:ascii="仿宋" w:hAnsi="仿宋" w:eastAsia="仿宋" w:cs="仿宋"/>
          <w:color w:val="000000"/>
          <w:sz w:val="24"/>
          <w:szCs w:val="24"/>
          <w:lang w:val="en-US" w:eastAsia="zh-CN"/>
        </w:rPr>
      </w:pPr>
    </w:p>
    <w:p>
      <w:pPr>
        <w:pStyle w:val="10"/>
        <w:rPr>
          <w:rFonts w:hint="eastAsia" w:ascii="仿宋" w:hAnsi="仿宋" w:eastAsia="仿宋" w:cs="仿宋"/>
          <w:color w:val="000000"/>
          <w:sz w:val="24"/>
          <w:szCs w:val="24"/>
        </w:rPr>
      </w:pPr>
    </w:p>
    <w:p>
      <w:pPr>
        <w:pStyle w:val="10"/>
        <w:rPr>
          <w:rFonts w:hint="eastAsia" w:ascii="仿宋" w:hAnsi="仿宋" w:eastAsia="仿宋" w:cs="仿宋"/>
          <w:color w:val="000000"/>
          <w:sz w:val="24"/>
          <w:szCs w:val="24"/>
        </w:rPr>
        <w:sectPr>
          <w:pgSz w:w="11906" w:h="16839"/>
          <w:pgMar w:top="1431" w:right="1768" w:bottom="1150" w:left="1785" w:header="0" w:footer="989" w:gutter="0"/>
          <w:pgNumType w:fmt="decimal"/>
          <w:cols w:space="720" w:num="1"/>
        </w:sectPr>
      </w:pPr>
    </w:p>
    <w:p>
      <w:pPr>
        <w:pStyle w:val="5"/>
        <w:keepNext/>
        <w:keepLines/>
        <w:pageBreakBefore/>
        <w:widowControl/>
        <w:numPr>
          <w:ilvl w:val="0"/>
          <w:numId w:val="0"/>
        </w:numPr>
        <w:kinsoku w:val="0"/>
        <w:wordWrap/>
        <w:overflowPunct/>
        <w:topLinePunct w:val="0"/>
        <w:autoSpaceDE w:val="0"/>
        <w:autoSpaceDN w:val="0"/>
        <w:bidi w:val="0"/>
        <w:adjustRightInd w:val="0"/>
        <w:snapToGrid w:val="0"/>
        <w:spacing w:before="0" w:beforeLines="0" w:after="0" w:afterLines="0" w:line="240" w:lineRule="auto"/>
        <w:ind w:right="-638" w:rightChars="-304"/>
        <w:jc w:val="center"/>
        <w:textAlignment w:val="baseline"/>
        <w:rPr>
          <w:rFonts w:hint="eastAsia" w:ascii="仿宋" w:hAnsi="仿宋" w:eastAsia="仿宋" w:cs="仿宋"/>
          <w:sz w:val="36"/>
          <w:szCs w:val="36"/>
        </w:rPr>
      </w:pPr>
      <w:r>
        <w:rPr>
          <w:rFonts w:hint="eastAsia" w:ascii="仿宋" w:hAnsi="仿宋" w:eastAsia="仿宋" w:cs="仿宋"/>
          <w:sz w:val="36"/>
          <w:szCs w:val="36"/>
          <w:lang w:val="en-US" w:eastAsia="zh-CN"/>
        </w:rPr>
        <w:t>四</w:t>
      </w:r>
      <w:r>
        <w:rPr>
          <w:rFonts w:hint="eastAsia" w:ascii="仿宋" w:hAnsi="仿宋" w:eastAsia="仿宋" w:cs="仿宋"/>
          <w:sz w:val="36"/>
          <w:szCs w:val="36"/>
        </w:rPr>
        <w:t>、商务评审</w:t>
      </w:r>
    </w:p>
    <w:p>
      <w:pPr>
        <w:pStyle w:val="23"/>
        <w:widowControl/>
        <w:kinsoku w:val="0"/>
        <w:wordWrap/>
        <w:overflowPunct/>
        <w:topLinePunct w:val="0"/>
        <w:autoSpaceDE w:val="0"/>
        <w:autoSpaceDN w:val="0"/>
        <w:bidi w:val="0"/>
        <w:adjustRightInd w:val="0"/>
        <w:snapToGrid w:val="0"/>
        <w:spacing w:before="0" w:after="0"/>
        <w:ind w:right="-638" w:rightChars="-304"/>
        <w:textAlignment w:val="baseline"/>
        <w:rPr>
          <w:rFonts w:hint="eastAsia" w:ascii="仿宋" w:hAnsi="仿宋" w:eastAsia="仿宋" w:cs="仿宋"/>
        </w:rPr>
      </w:pPr>
      <w:r>
        <w:rPr>
          <w:rFonts w:hint="eastAsia" w:ascii="仿宋" w:hAnsi="仿宋" w:eastAsia="仿宋" w:cs="仿宋"/>
        </w:rPr>
        <w:t>（一）商务评审自查表</w:t>
      </w:r>
    </w:p>
    <w:p>
      <w:pPr>
        <w:adjustRightInd w:val="0"/>
        <w:snapToGrid w:val="0"/>
        <w:ind w:left="-414" w:leftChars="-197" w:right="0" w:rightChars="0" w:firstLine="415" w:firstLineChars="0"/>
        <w:rPr>
          <w:rFonts w:hint="eastAsia" w:ascii="仿宋" w:hAnsi="仿宋" w:eastAsia="仿宋" w:cs="仿宋"/>
          <w:b/>
          <w:bCs/>
          <w:szCs w:val="21"/>
        </w:rPr>
      </w:pPr>
      <w:r>
        <w:rPr>
          <w:rFonts w:hint="eastAsia" w:ascii="仿宋" w:hAnsi="仿宋" w:eastAsia="仿宋" w:cs="仿宋"/>
          <w:b/>
          <w:bCs/>
          <w:szCs w:val="21"/>
          <w:lang w:val="en-GB" w:eastAsia="zh-CN"/>
        </w:rPr>
        <w:t>响应供应商</w:t>
      </w:r>
      <w:r>
        <w:rPr>
          <w:rFonts w:hint="eastAsia" w:ascii="仿宋" w:hAnsi="仿宋" w:eastAsia="仿宋" w:cs="仿宋"/>
          <w:b/>
          <w:bCs/>
          <w:szCs w:val="21"/>
          <w:lang w:val="en-GB"/>
        </w:rPr>
        <w:t>应根据《商务评审自查表》的各项内容填写，</w:t>
      </w:r>
      <w:r>
        <w:rPr>
          <w:rFonts w:hint="eastAsia" w:ascii="仿宋" w:hAnsi="仿宋" w:eastAsia="仿宋" w:cs="仿宋"/>
          <w:b/>
          <w:bCs/>
          <w:szCs w:val="21"/>
        </w:rPr>
        <w:t>并提供相应的证明资料及填写页码，如未提供，评审委员会有权认为不具备或不符合，并影响</w:t>
      </w:r>
      <w:r>
        <w:rPr>
          <w:rFonts w:hint="eastAsia" w:ascii="仿宋" w:hAnsi="仿宋" w:eastAsia="仿宋" w:cs="仿宋"/>
          <w:b/>
          <w:bCs/>
          <w:szCs w:val="21"/>
          <w:lang w:eastAsia="zh-CN"/>
        </w:rPr>
        <w:t>响应供应商</w:t>
      </w:r>
      <w:r>
        <w:rPr>
          <w:rFonts w:hint="eastAsia" w:ascii="仿宋" w:hAnsi="仿宋" w:eastAsia="仿宋" w:cs="仿宋"/>
          <w:b/>
          <w:bCs/>
          <w:szCs w:val="21"/>
        </w:rPr>
        <w:t>的得分。</w:t>
      </w:r>
    </w:p>
    <w:tbl>
      <w:tblPr>
        <w:tblStyle w:val="26"/>
        <w:tblpPr w:leftFromText="180" w:rightFromText="180" w:vertAnchor="text" w:horzAnchor="page" w:tblpX="1115" w:tblpY="260"/>
        <w:tblOverlap w:val="never"/>
        <w:tblW w:w="994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7"/>
        <w:gridCol w:w="3346"/>
        <w:gridCol w:w="3754"/>
        <w:gridCol w:w="1083"/>
        <w:gridCol w:w="11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7" w:type="dxa"/>
            <w:noWrap w:val="0"/>
            <w:vAlign w:val="center"/>
          </w:tcPr>
          <w:p>
            <w:pPr>
              <w:ind w:right="-638" w:rightChars="-304"/>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7100" w:type="dxa"/>
            <w:gridSpan w:val="2"/>
            <w:noWrap w:val="0"/>
            <w:vAlign w:val="center"/>
          </w:tcPr>
          <w:p>
            <w:pPr>
              <w:ind w:right="-638" w:rightChars="-304"/>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评审细则</w:t>
            </w:r>
          </w:p>
        </w:tc>
        <w:tc>
          <w:tcPr>
            <w:tcW w:w="1083" w:type="dxa"/>
            <w:noWrap w:val="0"/>
            <w:vAlign w:val="center"/>
          </w:tcPr>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证明资料</w:t>
            </w:r>
          </w:p>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提供情况</w:t>
            </w:r>
          </w:p>
        </w:tc>
        <w:tc>
          <w:tcPr>
            <w:tcW w:w="1150" w:type="dxa"/>
            <w:noWrap w:val="0"/>
            <w:vAlign w:val="center"/>
          </w:tcPr>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证明资料</w:t>
            </w:r>
          </w:p>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55" w:hRule="atLeast"/>
        </w:trPr>
        <w:tc>
          <w:tcPr>
            <w:tcW w:w="607" w:type="dxa"/>
            <w:noWrap w:val="0"/>
            <w:vAlign w:val="center"/>
          </w:tcPr>
          <w:p>
            <w:pPr>
              <w:ind w:left="-199" w:leftChars="-95" w:right="-248" w:rightChars="-118"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346" w:type="dxa"/>
            <w:noWrap w:val="0"/>
            <w:vAlign w:val="center"/>
          </w:tcPr>
          <w:p>
            <w:pPr>
              <w:ind w:right="-80" w:rightChars="-38"/>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同类业绩（10分）</w:t>
            </w:r>
          </w:p>
          <w:p>
            <w:pPr>
              <w:pStyle w:val="11"/>
              <w:rPr>
                <w:rFonts w:hint="eastAsia" w:ascii="仿宋" w:hAnsi="仿宋" w:eastAsia="仿宋" w:cs="仿宋"/>
                <w:lang w:val="en-US" w:eastAsia="zh-CN"/>
              </w:rPr>
            </w:pPr>
            <w:r>
              <w:rPr>
                <w:rFonts w:hint="eastAsia" w:ascii="仿宋" w:hAnsi="仿宋" w:eastAsia="仿宋" w:cs="仿宋"/>
                <w:color w:val="000000"/>
                <w:kern w:val="2"/>
                <w:sz w:val="24"/>
                <w:szCs w:val="24"/>
                <w:highlight w:val="none"/>
                <w:lang w:val="en-US" w:eastAsia="zh-CN" w:bidi="ar-SA"/>
              </w:rPr>
              <w:t>2021年1月1日至今（以合同签订时间为准）完成同类业绩情况（医气正负压机组维保服务），每提交1份项目业绩材料得2.5分，最高得10分。</w:t>
            </w:r>
          </w:p>
        </w:tc>
        <w:tc>
          <w:tcPr>
            <w:tcW w:w="3754"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响应供应商需提供体现项目业绩的合同复印件并加盖公章。</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合同复印件必须包含能够体现合同签订双方主体信息、项目概况等能体现属于同类业绩的合同内容以及双方签署页面等关键页。</w:t>
            </w:r>
          </w:p>
        </w:tc>
        <w:tc>
          <w:tcPr>
            <w:tcW w:w="1083"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□有   </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c>
          <w:tcPr>
            <w:tcW w:w="1150" w:type="dxa"/>
            <w:noWrap w:val="0"/>
            <w:vAlign w:val="center"/>
          </w:tcPr>
          <w:p>
            <w:pPr>
              <w:ind w:right="-126"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0" w:hRule="atLeast"/>
        </w:trPr>
        <w:tc>
          <w:tcPr>
            <w:tcW w:w="607" w:type="dxa"/>
            <w:noWrap w:val="0"/>
            <w:vAlign w:val="center"/>
          </w:tcPr>
          <w:p>
            <w:pPr>
              <w:ind w:left="-199" w:leftChars="-95" w:right="-248" w:rightChars="-118"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346" w:type="dxa"/>
            <w:noWrap w:val="0"/>
            <w:vAlign w:val="center"/>
          </w:tcPr>
          <w:p>
            <w:pPr>
              <w:ind w:right="-80" w:rightChars="-38"/>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用户评价（8分）</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同类业绩获得客户评价为优或满意的或评委认可的类似好评的用户评价的，每项得2分，最高得8分。</w:t>
            </w:r>
          </w:p>
          <w:p>
            <w:pPr>
              <w:pStyle w:val="2"/>
              <w:rPr>
                <w:rFonts w:hint="eastAsia"/>
                <w:lang w:val="en-US" w:eastAsia="zh-CN"/>
              </w:rPr>
            </w:pPr>
          </w:p>
        </w:tc>
        <w:tc>
          <w:tcPr>
            <w:tcW w:w="3754" w:type="dxa"/>
            <w:noWrap w:val="0"/>
            <w:vAlign w:val="center"/>
          </w:tcPr>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响应供应商应提供与所提供的同类业绩对应的用户单位服务评价证明材料复印件，并加盖响应供应商公章。</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项目业绩对应的用户单位服务评价证明材料，需经响应供应商的用户单位盖章确认，可以为满意程度调查表、优秀服务荣誉证书、客户优秀服务评定材料等形式。</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不提供资料、所提供资料未能体现属于同类业绩且获得用户好评的，得0分。</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响应供应商提供同一客户的多份评价的，不重复计分，只计一次分。</w:t>
            </w:r>
          </w:p>
        </w:tc>
        <w:tc>
          <w:tcPr>
            <w:tcW w:w="1083"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□有   </w:t>
            </w:r>
          </w:p>
          <w:p>
            <w:pPr>
              <w:tabs>
                <w:tab w:val="left" w:pos="220"/>
              </w:tabs>
              <w:ind w:right="3"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□无</w:t>
            </w:r>
          </w:p>
        </w:tc>
        <w:tc>
          <w:tcPr>
            <w:tcW w:w="1150" w:type="dxa"/>
            <w:noWrap w:val="0"/>
            <w:vAlign w:val="center"/>
          </w:tcPr>
          <w:p>
            <w:pPr>
              <w:ind w:right="-126" w:rightChars="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7" w:type="dxa"/>
            <w:noWrap w:val="0"/>
            <w:vAlign w:val="center"/>
          </w:tcPr>
          <w:p>
            <w:pPr>
              <w:ind w:left="-199" w:leftChars="-95" w:right="-248" w:rightChars="-118"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346" w:type="dxa"/>
            <w:noWrap w:val="0"/>
            <w:vAlign w:val="center"/>
          </w:tcPr>
          <w:p>
            <w:pPr>
              <w:ind w:right="-638" w:rightChars="-304"/>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lang w:val="en-US" w:eastAsia="zh-CN"/>
              </w:rPr>
              <w:t>管理体系认证情况（6分）</w:t>
            </w:r>
          </w:p>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具备以下管理体系认证证书且在有效期内的，每项得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z w:val="24"/>
                <w:szCs w:val="24"/>
                <w:lang w:val="en-US" w:eastAsia="zh-CN"/>
              </w:rPr>
              <w:t>质量管理体系认证证书</w:t>
            </w:r>
            <w:r>
              <w:rPr>
                <w:rFonts w:hint="eastAsia" w:ascii="仿宋" w:hAnsi="仿宋" w:eastAsia="仿宋" w:cs="仿宋"/>
                <w:color w:val="auto"/>
                <w:sz w:val="24"/>
                <w:szCs w:val="24"/>
                <w:highlight w:val="none"/>
                <w:lang w:eastAsia="zh-CN"/>
              </w:rPr>
              <w:t>；</w:t>
            </w:r>
          </w:p>
          <w:p>
            <w:pPr>
              <w:tabs>
                <w:tab w:val="left" w:pos="840"/>
              </w:tabs>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sz w:val="24"/>
                <w:szCs w:val="24"/>
                <w:lang w:val="en-US" w:eastAsia="zh-CN"/>
              </w:rPr>
              <w:t>环境管理体系认证证书；</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3、职业健康安全管理体系认证证书</w:t>
            </w:r>
            <w:r>
              <w:rPr>
                <w:rFonts w:hint="eastAsia" w:ascii="仿宋" w:hAnsi="仿宋" w:eastAsia="仿宋" w:cs="仿宋"/>
                <w:color w:val="auto"/>
                <w:sz w:val="24"/>
                <w:szCs w:val="24"/>
                <w:highlight w:val="none"/>
                <w:lang w:eastAsia="zh-CN"/>
              </w:rPr>
              <w:t>。</w:t>
            </w:r>
          </w:p>
        </w:tc>
        <w:tc>
          <w:tcPr>
            <w:tcW w:w="3754"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响应供应商需提供《管理体系认证情况一览表》、相关认证证书复印件并加盖公章，同时提供全国认证认可信息公共服务平台网站http://cx.cnca.cn/查询的信息打印页加盖公章。</w:t>
            </w:r>
          </w:p>
          <w:p>
            <w:pPr>
              <w:tabs>
                <w:tab w:val="left" w:pos="220"/>
              </w:tabs>
              <w:ind w:right="3" w:rightChars="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如全国认证认可信息公共服务平台网站无法查询或网站公开信息与认证证书信息不一致的，响应供应商必须提供发证机构出具的证明函。</w:t>
            </w:r>
          </w:p>
        </w:tc>
        <w:tc>
          <w:tcPr>
            <w:tcW w:w="1083" w:type="dxa"/>
            <w:noWrap w:val="0"/>
            <w:vAlign w:val="center"/>
          </w:tcPr>
          <w:p>
            <w:pPr>
              <w:ind w:right="-638" w:rightChars="-304"/>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□有   </w:t>
            </w:r>
          </w:p>
          <w:p>
            <w:pPr>
              <w:ind w:right="-638" w:rightChars="-304"/>
              <w:jc w:val="left"/>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□无</w:t>
            </w:r>
          </w:p>
        </w:tc>
        <w:tc>
          <w:tcPr>
            <w:tcW w:w="1150" w:type="dxa"/>
            <w:noWrap w:val="0"/>
            <w:vAlign w:val="center"/>
          </w:tcPr>
          <w:p>
            <w:pPr>
              <w:ind w:right="-208" w:rightChars="-99"/>
              <w:jc w:val="left"/>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1" w:hRule="atLeast"/>
        </w:trPr>
        <w:tc>
          <w:tcPr>
            <w:tcW w:w="607" w:type="dxa"/>
            <w:noWrap w:val="0"/>
            <w:vAlign w:val="center"/>
          </w:tcPr>
          <w:p>
            <w:pPr>
              <w:ind w:left="-199" w:leftChars="-95" w:right="-248" w:rightChars="-118"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346" w:type="dxa"/>
            <w:shd w:val="clear" w:color="auto" w:fill="auto"/>
            <w:noWrap w:val="0"/>
            <w:vAlign w:val="top"/>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安全事故指标考核（4分）</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2022年1月1日至今没有发生过生产安全事故（包括生产安全一般事故、较大事故、重大事故、特别重大事故，以《安全生产法》划分标准为准）的，得 4分，其余不得分。 </w:t>
            </w:r>
          </w:p>
        </w:tc>
        <w:tc>
          <w:tcPr>
            <w:tcW w:w="3754" w:type="dxa"/>
            <w:shd w:val="clear" w:color="auto" w:fill="auto"/>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提供承诺函并加盖公章。</w:t>
            </w:r>
          </w:p>
        </w:tc>
        <w:tc>
          <w:tcPr>
            <w:tcW w:w="1083" w:type="dxa"/>
            <w:noWrap w:val="0"/>
            <w:vAlign w:val="center"/>
          </w:tcPr>
          <w:p>
            <w:pPr>
              <w:ind w:right="-638" w:rightChars="-304"/>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□有   </w:t>
            </w:r>
          </w:p>
          <w:p>
            <w:pPr>
              <w:ind w:right="-638" w:rightChars="-304"/>
              <w:jc w:val="left"/>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□无</w:t>
            </w:r>
          </w:p>
        </w:tc>
        <w:tc>
          <w:tcPr>
            <w:tcW w:w="1150" w:type="dxa"/>
            <w:noWrap w:val="0"/>
            <w:vAlign w:val="center"/>
          </w:tcPr>
          <w:p>
            <w:pPr>
              <w:ind w:right="-208" w:rightChars="-99"/>
              <w:jc w:val="left"/>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见响应文件第（  ）页</w:t>
            </w:r>
          </w:p>
        </w:tc>
      </w:tr>
    </w:tbl>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w:t>
      </w:r>
    </w:p>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1、请在本表后附上相关证明资料复印件且加盖公章方可得分，不提供不得分。</w:t>
      </w:r>
    </w:p>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3、本表要求提供的证书等证明文件，如有有效期的，须在有效期内，否则不予得分。</w:t>
      </w:r>
    </w:p>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4、响应供应商承诺以上响应情况属实，如有虚假响应，同意采购人将响应供应商的本次响应作无效响应处理，并将响应供应商列入采购人的失信供应商名单。</w:t>
      </w:r>
    </w:p>
    <w:p>
      <w:pPr>
        <w:pStyle w:val="33"/>
        <w:ind w:left="-199" w:leftChars="-95" w:right="-420" w:rightChars="-20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5、本自查表不得擅自删改。</w:t>
      </w:r>
    </w:p>
    <w:p>
      <w:pPr>
        <w:spacing w:line="360" w:lineRule="auto"/>
        <w:ind w:left="-199" w:leftChars="-95" w:right="-420" w:rightChars="-200" w:firstLine="0" w:firstLineChars="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right="-638" w:rightChars="-304"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授权代表（签</w:t>
      </w:r>
      <w:r>
        <w:rPr>
          <w:rFonts w:hint="eastAsia" w:ascii="仿宋" w:hAnsi="仿宋" w:eastAsia="仿宋" w:cs="仿宋"/>
          <w:sz w:val="24"/>
          <w:lang w:val="en-US" w:eastAsia="zh-CN"/>
        </w:rPr>
        <w:t>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right="-638" w:rightChars="-304"/>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3"/>
        <w:jc w:val="center"/>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3"/>
        <w:jc w:val="center"/>
        <w:rPr>
          <w:rFonts w:hint="eastAsia" w:ascii="仿宋" w:hAnsi="仿宋" w:eastAsia="仿宋" w:cs="仿宋"/>
        </w:rPr>
      </w:pPr>
      <w:r>
        <w:rPr>
          <w:rFonts w:hint="eastAsia" w:ascii="仿宋" w:hAnsi="仿宋" w:eastAsia="仿宋" w:cs="仿宋"/>
        </w:rPr>
        <w:t>（二）商务评审证明资料（如有）</w:t>
      </w:r>
    </w:p>
    <w:p>
      <w:pPr>
        <w:pStyle w:val="33"/>
        <w:numPr>
          <w:ilvl w:val="0"/>
          <w:numId w:val="0"/>
        </w:numPr>
        <w:ind w:leftChars="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1、同类业绩及客户评价情况证明资料</w:t>
      </w:r>
    </w:p>
    <w:p>
      <w:pPr>
        <w:pStyle w:val="33"/>
        <w:numPr>
          <w:ilvl w:val="0"/>
          <w:numId w:val="0"/>
        </w:numPr>
        <w:ind w:leftChars="0"/>
        <w:jc w:val="both"/>
        <w:rPr>
          <w:rFonts w:hint="eastAsia" w:ascii="仿宋" w:hAnsi="仿宋" w:eastAsia="仿宋" w:cs="仿宋"/>
          <w:b/>
          <w:kern w:val="2"/>
          <w:sz w:val="32"/>
          <w:szCs w:val="32"/>
          <w:lang w:val="en-US" w:eastAsia="zh-CN" w:bidi="ar-SA"/>
        </w:rPr>
      </w:pPr>
    </w:p>
    <w:p>
      <w:pPr>
        <w:pStyle w:val="33"/>
        <w:numPr>
          <w:ilvl w:val="0"/>
          <w:numId w:val="0"/>
        </w:numPr>
        <w:ind w:left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GB" w:eastAsia="zh-CN" w:bidi="ar-SA"/>
        </w:rPr>
        <w:t>自20</w:t>
      </w: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en-GB" w:eastAsia="zh-CN" w:bidi="ar-SA"/>
        </w:rPr>
        <w:t>年1月1日（以合同签订时间为准）以来</w:t>
      </w:r>
      <w:r>
        <w:rPr>
          <w:rFonts w:hint="eastAsia" w:ascii="仿宋" w:hAnsi="仿宋" w:eastAsia="仿宋" w:cs="仿宋"/>
          <w:b/>
          <w:bCs/>
          <w:kern w:val="2"/>
          <w:sz w:val="28"/>
          <w:szCs w:val="28"/>
          <w:lang w:val="en-US" w:eastAsia="zh-CN" w:bidi="ar-SA"/>
        </w:rPr>
        <w:t>同类业绩及客户评价情况一览表</w:t>
      </w:r>
    </w:p>
    <w:tbl>
      <w:tblPr>
        <w:tblStyle w:val="26"/>
        <w:tblpPr w:leftFromText="180" w:rightFromText="180" w:vertAnchor="text" w:horzAnchor="page" w:tblpX="1149" w:tblpY="690"/>
        <w:tblOverlap w:val="never"/>
        <w:tblW w:w="906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3442"/>
        <w:gridCol w:w="2017"/>
        <w:gridCol w:w="12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noWrap w:val="0"/>
            <w:vAlign w:val="top"/>
          </w:tcPr>
          <w:p>
            <w:pPr>
              <w:pStyle w:val="43"/>
              <w:spacing w:before="81"/>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91" w:type="dxa"/>
            <w:tcBorders>
              <w:left w:val="single" w:color="000000" w:sz="6" w:space="0"/>
              <w:bottom w:val="single" w:color="000000" w:sz="6" w:space="0"/>
              <w:right w:val="single" w:color="000000" w:sz="6" w:space="0"/>
            </w:tcBorders>
            <w:noWrap w:val="0"/>
            <w:vAlign w:val="top"/>
          </w:tcPr>
          <w:p>
            <w:pPr>
              <w:pStyle w:val="43"/>
              <w:spacing w:before="81"/>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客户名称</w:t>
            </w:r>
          </w:p>
        </w:tc>
        <w:tc>
          <w:tcPr>
            <w:tcW w:w="3442" w:type="dxa"/>
            <w:tcBorders>
              <w:left w:val="single" w:color="000000" w:sz="6" w:space="0"/>
              <w:bottom w:val="single" w:color="000000" w:sz="6" w:space="0"/>
              <w:right w:val="single" w:color="000000" w:sz="6" w:space="0"/>
            </w:tcBorders>
            <w:noWrap w:val="0"/>
            <w:vAlign w:val="top"/>
          </w:tcPr>
          <w:p>
            <w:pPr>
              <w:pStyle w:val="43"/>
              <w:spacing w:before="81"/>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项目内容</w:t>
            </w:r>
          </w:p>
        </w:tc>
        <w:tc>
          <w:tcPr>
            <w:tcW w:w="2017" w:type="dxa"/>
            <w:tcBorders>
              <w:left w:val="single" w:color="000000" w:sz="6" w:space="0"/>
              <w:bottom w:val="single" w:color="000000" w:sz="6" w:space="0"/>
              <w:right w:val="single" w:color="000000" w:sz="6" w:space="0"/>
            </w:tcBorders>
            <w:noWrap w:val="0"/>
            <w:vAlign w:val="top"/>
          </w:tcPr>
          <w:p>
            <w:pPr>
              <w:pStyle w:val="43"/>
              <w:spacing w:before="81"/>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项目完成情况及完成日期</w:t>
            </w:r>
          </w:p>
        </w:tc>
        <w:tc>
          <w:tcPr>
            <w:tcW w:w="1283" w:type="dxa"/>
            <w:tcBorders>
              <w:left w:val="single" w:color="000000" w:sz="6" w:space="0"/>
              <w:bottom w:val="single" w:color="000000" w:sz="6" w:space="0"/>
              <w:right w:val="single" w:color="000000" w:sz="6" w:space="0"/>
            </w:tcBorders>
            <w:noWrap w:val="0"/>
            <w:vAlign w:val="top"/>
          </w:tcPr>
          <w:p>
            <w:pPr>
              <w:pStyle w:val="43"/>
              <w:spacing w:before="81"/>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是否获得客户好评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noWrap w:val="0"/>
            <w:vAlign w:val="top"/>
          </w:tcPr>
          <w:p>
            <w:pPr>
              <w:pStyle w:val="4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项目所在地：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合同价格：</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与本项目的相关性：</w:t>
            </w:r>
          </w:p>
        </w:tc>
        <w:tc>
          <w:tcPr>
            <w:tcW w:w="2017"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1283" w:type="dxa"/>
            <w:tcBorders>
              <w:top w:val="single" w:color="000000" w:sz="6" w:space="0"/>
              <w:left w:val="single" w:color="000000" w:sz="6" w:space="0"/>
              <w:bottom w:val="single" w:color="000000" w:sz="6" w:space="0"/>
              <w:right w:val="single" w:color="000000" w:sz="6" w:space="0"/>
            </w:tcBorders>
            <w:noWrap w:val="0"/>
            <w:vAlign w:val="center"/>
          </w:tcPr>
          <w:p>
            <w:pPr>
              <w:tabs>
                <w:tab w:val="left" w:pos="220"/>
              </w:tabs>
              <w:ind w:right="3"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p>
            <w:pPr>
              <w:pStyle w:val="43"/>
              <w:jc w:val="center"/>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项目所在地：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合同价格：</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与本项目的相关性：</w:t>
            </w:r>
          </w:p>
        </w:tc>
        <w:tc>
          <w:tcPr>
            <w:tcW w:w="2017"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1283" w:type="dxa"/>
            <w:tcBorders>
              <w:top w:val="single" w:color="000000" w:sz="6" w:space="0"/>
              <w:left w:val="single" w:color="000000" w:sz="6" w:space="0"/>
              <w:bottom w:val="single" w:color="000000" w:sz="6" w:space="0"/>
              <w:right w:val="single" w:color="000000" w:sz="6" w:space="0"/>
            </w:tcBorders>
            <w:noWrap w:val="0"/>
            <w:vAlign w:val="center"/>
          </w:tcPr>
          <w:p>
            <w:pPr>
              <w:tabs>
                <w:tab w:val="left" w:pos="220"/>
              </w:tabs>
              <w:ind w:right="3"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p>
            <w:pPr>
              <w:pStyle w:val="43"/>
              <w:jc w:val="center"/>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项目所在地：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合同价格：</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与本项目的相关性：</w:t>
            </w:r>
          </w:p>
        </w:tc>
        <w:tc>
          <w:tcPr>
            <w:tcW w:w="2017"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1283" w:type="dxa"/>
            <w:tcBorders>
              <w:top w:val="single" w:color="000000" w:sz="6" w:space="0"/>
              <w:left w:val="single" w:color="000000" w:sz="6" w:space="0"/>
              <w:bottom w:val="single" w:color="000000" w:sz="6" w:space="0"/>
              <w:right w:val="single" w:color="000000" w:sz="6" w:space="0"/>
            </w:tcBorders>
            <w:noWrap w:val="0"/>
            <w:vAlign w:val="center"/>
          </w:tcPr>
          <w:p>
            <w:pPr>
              <w:tabs>
                <w:tab w:val="left" w:pos="220"/>
              </w:tabs>
              <w:ind w:right="3"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p>
            <w:pPr>
              <w:pStyle w:val="43"/>
              <w:jc w:val="center"/>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项目所在地：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合同价格：</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与本项目的相关性：</w:t>
            </w:r>
          </w:p>
        </w:tc>
        <w:tc>
          <w:tcPr>
            <w:tcW w:w="2017"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1283" w:type="dxa"/>
            <w:tcBorders>
              <w:top w:val="single" w:color="000000" w:sz="6" w:space="0"/>
              <w:left w:val="single" w:color="000000" w:sz="6" w:space="0"/>
              <w:bottom w:val="single" w:color="000000" w:sz="6" w:space="0"/>
              <w:right w:val="single" w:color="000000" w:sz="6" w:space="0"/>
            </w:tcBorders>
            <w:noWrap w:val="0"/>
            <w:vAlign w:val="center"/>
          </w:tcPr>
          <w:p>
            <w:pPr>
              <w:tabs>
                <w:tab w:val="left" w:pos="220"/>
              </w:tabs>
              <w:ind w:right="3"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p>
            <w:pPr>
              <w:pStyle w:val="43"/>
              <w:jc w:val="center"/>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□否</w:t>
            </w:r>
          </w:p>
        </w:tc>
      </w:tr>
    </w:tbl>
    <w:p>
      <w:pPr>
        <w:pStyle w:val="10"/>
        <w:adjustRightInd w:val="0"/>
        <w:snapToGrid w:val="0"/>
        <w:spacing w:after="0" w:afterAutospacing="0"/>
        <w:rPr>
          <w:rFonts w:hint="eastAsia" w:ascii="仿宋" w:hAnsi="仿宋" w:eastAsia="仿宋" w:cs="仿宋"/>
          <w:spacing w:val="-6"/>
          <w:kern w:val="2"/>
          <w:sz w:val="21"/>
          <w:szCs w:val="16"/>
        </w:rPr>
      </w:pPr>
    </w:p>
    <w:p>
      <w:pPr>
        <w:rPr>
          <w:rFonts w:hint="eastAsia"/>
        </w:rPr>
      </w:pPr>
    </w:p>
    <w:p>
      <w:pPr>
        <w:pStyle w:val="10"/>
        <w:adjustRightInd w:val="0"/>
        <w:snapToGrid w:val="0"/>
        <w:spacing w:after="0" w:afterAutospacing="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注：1.响应供应商应如实填写同类项目业绩及客户评价，不得弄虚作假。</w:t>
      </w:r>
    </w:p>
    <w:p>
      <w:pPr>
        <w:tabs>
          <w:tab w:val="left" w:pos="840"/>
        </w:tabs>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color w:val="auto"/>
          <w:sz w:val="24"/>
          <w:szCs w:val="24"/>
          <w:highlight w:val="none"/>
          <w:lang w:val="en-US" w:eastAsia="zh-CN"/>
        </w:rPr>
        <w:t>响应供应商需同时提供体现项目业绩的合同复印件以及与项目业绩对应的用户单位服务评价证明材料复印件，并加盖响应供应商公章。</w:t>
      </w:r>
    </w:p>
    <w:p>
      <w:pPr>
        <w:tabs>
          <w:tab w:val="left" w:pos="840"/>
        </w:tabs>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合同复印件必须包含能够体现合同签订双方主体信息、项目概况等能体现属于同类业绩的合同内容以及双方签署页面等关键页。</w:t>
      </w:r>
    </w:p>
    <w:p>
      <w:pPr>
        <w:tabs>
          <w:tab w:val="left" w:pos="840"/>
        </w:tabs>
        <w:ind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sz w:val="24"/>
          <w:szCs w:val="24"/>
          <w:highlight w:val="none"/>
          <w:lang w:val="en-US" w:eastAsia="zh-CN"/>
        </w:rPr>
        <w:t>项目业绩对应的用户单位服务评价证明材料，需经响应供应商的用户单位盖章确认，可以为满意程度调查表、优秀服务荣誉证书、客户优秀服务评定材料等形式。</w:t>
      </w:r>
    </w:p>
    <w:p>
      <w:pPr>
        <w:tabs>
          <w:tab w:val="left" w:pos="1110"/>
        </w:tabs>
        <w:adjustRightInd w:val="0"/>
        <w:snapToGrid w:val="0"/>
        <w:ind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3.如果没有同类业绩的，请在上表第一行“客户名称”处填写“无”。</w:t>
      </w:r>
    </w:p>
    <w:p>
      <w:pPr>
        <w:pStyle w:val="10"/>
        <w:jc w:val="both"/>
        <w:rPr>
          <w:rFonts w:hint="eastAsia" w:ascii="仿宋" w:hAnsi="仿宋" w:eastAsia="仿宋" w:cs="仿宋"/>
          <w:b w:val="0"/>
          <w:bCs w:val="0"/>
          <w:lang w:val="en-US" w:eastAsia="zh-CN"/>
        </w:rPr>
      </w:pPr>
      <w:r>
        <w:rPr>
          <w:rFonts w:hint="eastAsia" w:ascii="仿宋" w:hAnsi="仿宋" w:eastAsia="仿宋" w:cs="仿宋"/>
          <w:b w:val="0"/>
          <w:bCs w:val="0"/>
          <w:kern w:val="2"/>
          <w:sz w:val="24"/>
          <w:szCs w:val="24"/>
          <w:lang w:val="en-US" w:eastAsia="zh-CN" w:bidi="ar-SA"/>
        </w:rPr>
        <w:t xml:space="preserve">    4.</w:t>
      </w:r>
      <w:r>
        <w:rPr>
          <w:rFonts w:hint="eastAsia" w:ascii="仿宋" w:hAnsi="仿宋" w:eastAsia="仿宋" w:cs="仿宋"/>
          <w:b w:val="0"/>
          <w:bCs w:val="0"/>
          <w:color w:val="000000"/>
          <w:sz w:val="24"/>
          <w:szCs w:val="24"/>
        </w:rPr>
        <w:t>本表内容不得擅自修改</w:t>
      </w:r>
      <w:r>
        <w:rPr>
          <w:rFonts w:hint="eastAsia" w:ascii="仿宋" w:hAnsi="仿宋" w:eastAsia="仿宋" w:cs="仿宋"/>
          <w:b w:val="0"/>
          <w:bCs w:val="0"/>
          <w:color w:val="000000"/>
          <w:sz w:val="24"/>
          <w:szCs w:val="24"/>
          <w:lang w:eastAsia="zh-CN"/>
        </w:rPr>
        <w:t>。</w:t>
      </w:r>
    </w:p>
    <w:p>
      <w:pPr>
        <w:pStyle w:val="33"/>
        <w:ind w:firstLine="400"/>
        <w:rPr>
          <w:rFonts w:hint="eastAsia" w:ascii="仿宋" w:hAnsi="仿宋" w:eastAsia="仿宋" w:cs="仿宋"/>
          <w:szCs w:val="21"/>
          <w:lang w:val="en-GB"/>
        </w:rPr>
      </w:pP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center"/>
        <w:rPr>
          <w:rFonts w:hint="eastAsia" w:ascii="仿宋" w:hAnsi="仿宋" w:eastAsia="仿宋" w:cs="仿宋"/>
          <w:b/>
          <w:sz w:val="32"/>
          <w:szCs w:val="32"/>
        </w:rPr>
      </w:pPr>
    </w:p>
    <w:p>
      <w:pPr>
        <w:pStyle w:val="10"/>
        <w:rPr>
          <w:rFonts w:hint="eastAsia" w:ascii="仿宋" w:hAnsi="仿宋" w:eastAsia="仿宋" w:cs="仿宋"/>
        </w:rPr>
        <w:sectPr>
          <w:footerReference r:id="rId6" w:type="default"/>
          <w:pgSz w:w="11906" w:h="16839"/>
          <w:pgMar w:top="1431" w:right="1301" w:bottom="1150" w:left="1365" w:header="0" w:footer="989" w:gutter="0"/>
          <w:pgNumType w:fmt="decimal"/>
          <w:cols w:space="720" w:num="1"/>
        </w:sectPr>
      </w:pPr>
    </w:p>
    <w:p>
      <w:pPr>
        <w:pStyle w:val="10"/>
        <w:rPr>
          <w:rFonts w:hint="eastAsia" w:ascii="仿宋" w:hAnsi="仿宋" w:eastAsia="仿宋" w:cs="仿宋"/>
        </w:rPr>
      </w:pPr>
    </w:p>
    <w:p>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2、管理体系认证情况证明资料</w:t>
      </w:r>
    </w:p>
    <w:p>
      <w:pPr>
        <w:pStyle w:val="10"/>
        <w:rPr>
          <w:rFonts w:hint="eastAsia" w:ascii="仿宋" w:hAnsi="仿宋" w:eastAsia="仿宋" w:cs="仿宋"/>
          <w:lang w:val="en-US" w:eastAsia="zh-CN"/>
        </w:rPr>
      </w:pPr>
    </w:p>
    <w:p>
      <w:pPr>
        <w:shd w:val="clear" w:color="auto" w:fill="FFFFFF"/>
        <w:jc w:val="center"/>
        <w:rPr>
          <w:rFonts w:hint="eastAsia" w:ascii="仿宋" w:hAnsi="仿宋" w:eastAsia="仿宋" w:cs="仿宋"/>
          <w:b/>
          <w:sz w:val="32"/>
          <w:szCs w:val="32"/>
        </w:rPr>
      </w:pPr>
      <w:r>
        <w:rPr>
          <w:rFonts w:hint="eastAsia" w:ascii="仿宋" w:hAnsi="仿宋" w:eastAsia="仿宋" w:cs="仿宋"/>
          <w:b/>
          <w:sz w:val="32"/>
          <w:szCs w:val="32"/>
          <w:lang w:val="en-US" w:eastAsia="zh-CN"/>
        </w:rPr>
        <w:t>管理体系认证情</w:t>
      </w:r>
      <w:r>
        <w:rPr>
          <w:rFonts w:hint="eastAsia" w:ascii="仿宋" w:hAnsi="仿宋" w:eastAsia="仿宋" w:cs="仿宋"/>
          <w:b/>
          <w:sz w:val="32"/>
          <w:szCs w:val="32"/>
        </w:rPr>
        <w:t>况</w:t>
      </w:r>
      <w:r>
        <w:rPr>
          <w:rFonts w:hint="eastAsia" w:ascii="仿宋" w:hAnsi="仿宋" w:eastAsia="仿宋" w:cs="仿宋"/>
          <w:b/>
          <w:sz w:val="32"/>
          <w:szCs w:val="32"/>
          <w:lang w:val="en-US" w:eastAsia="zh-CN"/>
        </w:rPr>
        <w:t>一览表</w:t>
      </w:r>
    </w:p>
    <w:p>
      <w:pPr>
        <w:pStyle w:val="10"/>
        <w:rPr>
          <w:rFonts w:hint="eastAsia" w:ascii="仿宋" w:hAnsi="仿宋" w:eastAsia="仿宋" w:cs="仿宋"/>
          <w:lang w:val="en-US" w:eastAsia="zh-CN"/>
        </w:rPr>
      </w:pPr>
    </w:p>
    <w:tbl>
      <w:tblPr>
        <w:tblStyle w:val="27"/>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431"/>
        <w:gridCol w:w="811"/>
        <w:gridCol w:w="837"/>
        <w:gridCol w:w="1370"/>
        <w:gridCol w:w="1672"/>
        <w:gridCol w:w="1603"/>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31"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管理体系认证证书名称</w:t>
            </w:r>
          </w:p>
        </w:tc>
        <w:tc>
          <w:tcPr>
            <w:tcW w:w="811"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发证机构</w:t>
            </w:r>
          </w:p>
        </w:tc>
        <w:tc>
          <w:tcPr>
            <w:tcW w:w="837"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发证时间</w:t>
            </w:r>
          </w:p>
        </w:tc>
        <w:tc>
          <w:tcPr>
            <w:tcW w:w="1370"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有效期限</w:t>
            </w:r>
          </w:p>
        </w:tc>
        <w:tc>
          <w:tcPr>
            <w:tcW w:w="1672"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证书信息是否在全国认证认可信息公共服务平台网站上公开</w:t>
            </w:r>
          </w:p>
        </w:tc>
        <w:tc>
          <w:tcPr>
            <w:tcW w:w="1603"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网上公开信息是否与证书信息一致</w:t>
            </w:r>
          </w:p>
        </w:tc>
        <w:tc>
          <w:tcPr>
            <w:tcW w:w="1242"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其他需要备注的认证信息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1431" w:type="dxa"/>
            <w:noWrap w:val="0"/>
            <w:vAlign w:val="top"/>
          </w:tcPr>
          <w:p>
            <w:pPr>
              <w:pStyle w:val="10"/>
              <w:rPr>
                <w:rFonts w:hint="eastAsia" w:ascii="仿宋" w:hAnsi="仿宋" w:eastAsia="仿宋" w:cs="仿宋"/>
                <w:vertAlign w:val="baseline"/>
                <w:lang w:val="en-US" w:eastAsia="zh-CN"/>
              </w:rPr>
            </w:pPr>
          </w:p>
        </w:tc>
        <w:tc>
          <w:tcPr>
            <w:tcW w:w="811" w:type="dxa"/>
            <w:noWrap w:val="0"/>
            <w:vAlign w:val="top"/>
          </w:tcPr>
          <w:p>
            <w:pPr>
              <w:pStyle w:val="10"/>
              <w:rPr>
                <w:rFonts w:hint="eastAsia" w:ascii="仿宋" w:hAnsi="仿宋" w:eastAsia="仿宋" w:cs="仿宋"/>
                <w:vertAlign w:val="baseline"/>
                <w:lang w:val="en-US" w:eastAsia="zh-CN"/>
              </w:rPr>
            </w:pPr>
          </w:p>
        </w:tc>
        <w:tc>
          <w:tcPr>
            <w:tcW w:w="837" w:type="dxa"/>
            <w:noWrap w:val="0"/>
            <w:vAlign w:val="top"/>
          </w:tcPr>
          <w:p>
            <w:pPr>
              <w:pStyle w:val="10"/>
              <w:rPr>
                <w:rFonts w:hint="eastAsia" w:ascii="仿宋" w:hAnsi="仿宋" w:eastAsia="仿宋" w:cs="仿宋"/>
                <w:vertAlign w:val="baseline"/>
                <w:lang w:val="en-US" w:eastAsia="zh-CN"/>
              </w:rPr>
            </w:pPr>
          </w:p>
        </w:tc>
        <w:tc>
          <w:tcPr>
            <w:tcW w:w="1370" w:type="dxa"/>
            <w:noWrap w:val="0"/>
            <w:vAlign w:val="top"/>
          </w:tcPr>
          <w:p>
            <w:pPr>
              <w:pStyle w:val="10"/>
              <w:rPr>
                <w:rFonts w:hint="eastAsia" w:ascii="仿宋" w:hAnsi="仿宋" w:eastAsia="仿宋" w:cs="仿宋"/>
                <w:vertAlign w:val="baseline"/>
                <w:lang w:val="en-US" w:eastAsia="zh-CN"/>
              </w:rPr>
            </w:pPr>
          </w:p>
        </w:tc>
        <w:tc>
          <w:tcPr>
            <w:tcW w:w="1672" w:type="dxa"/>
            <w:noWrap w:val="0"/>
            <w:vAlign w:val="top"/>
          </w:tcPr>
          <w:p>
            <w:pPr>
              <w:pStyle w:val="1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1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10"/>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1431" w:type="dxa"/>
            <w:noWrap w:val="0"/>
            <w:vAlign w:val="top"/>
          </w:tcPr>
          <w:p>
            <w:pPr>
              <w:pStyle w:val="10"/>
              <w:rPr>
                <w:rFonts w:hint="eastAsia" w:ascii="仿宋" w:hAnsi="仿宋" w:eastAsia="仿宋" w:cs="仿宋"/>
                <w:vertAlign w:val="baseline"/>
                <w:lang w:val="en-US" w:eastAsia="zh-CN"/>
              </w:rPr>
            </w:pPr>
          </w:p>
        </w:tc>
        <w:tc>
          <w:tcPr>
            <w:tcW w:w="811" w:type="dxa"/>
            <w:noWrap w:val="0"/>
            <w:vAlign w:val="top"/>
          </w:tcPr>
          <w:p>
            <w:pPr>
              <w:pStyle w:val="10"/>
              <w:rPr>
                <w:rFonts w:hint="eastAsia" w:ascii="仿宋" w:hAnsi="仿宋" w:eastAsia="仿宋" w:cs="仿宋"/>
                <w:vertAlign w:val="baseline"/>
                <w:lang w:val="en-US" w:eastAsia="zh-CN"/>
              </w:rPr>
            </w:pPr>
          </w:p>
        </w:tc>
        <w:tc>
          <w:tcPr>
            <w:tcW w:w="837" w:type="dxa"/>
            <w:noWrap w:val="0"/>
            <w:vAlign w:val="top"/>
          </w:tcPr>
          <w:p>
            <w:pPr>
              <w:pStyle w:val="10"/>
              <w:rPr>
                <w:rFonts w:hint="eastAsia" w:ascii="仿宋" w:hAnsi="仿宋" w:eastAsia="仿宋" w:cs="仿宋"/>
                <w:vertAlign w:val="baseline"/>
                <w:lang w:val="en-US" w:eastAsia="zh-CN"/>
              </w:rPr>
            </w:pPr>
          </w:p>
        </w:tc>
        <w:tc>
          <w:tcPr>
            <w:tcW w:w="1370" w:type="dxa"/>
            <w:noWrap w:val="0"/>
            <w:vAlign w:val="top"/>
          </w:tcPr>
          <w:p>
            <w:pPr>
              <w:pStyle w:val="10"/>
              <w:rPr>
                <w:rFonts w:hint="eastAsia" w:ascii="仿宋" w:hAnsi="仿宋" w:eastAsia="仿宋" w:cs="仿宋"/>
                <w:vertAlign w:val="baseline"/>
                <w:lang w:val="en-US" w:eastAsia="zh-CN"/>
              </w:rPr>
            </w:pPr>
          </w:p>
        </w:tc>
        <w:tc>
          <w:tcPr>
            <w:tcW w:w="1672" w:type="dxa"/>
            <w:noWrap w:val="0"/>
            <w:vAlign w:val="top"/>
          </w:tcPr>
          <w:p>
            <w:pPr>
              <w:pStyle w:val="1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1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10"/>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1431" w:type="dxa"/>
            <w:noWrap w:val="0"/>
            <w:vAlign w:val="top"/>
          </w:tcPr>
          <w:p>
            <w:pPr>
              <w:pStyle w:val="10"/>
              <w:rPr>
                <w:rFonts w:hint="eastAsia" w:ascii="仿宋" w:hAnsi="仿宋" w:eastAsia="仿宋" w:cs="仿宋"/>
                <w:vertAlign w:val="baseline"/>
                <w:lang w:val="en-US" w:eastAsia="zh-CN"/>
              </w:rPr>
            </w:pPr>
          </w:p>
        </w:tc>
        <w:tc>
          <w:tcPr>
            <w:tcW w:w="811" w:type="dxa"/>
            <w:noWrap w:val="0"/>
            <w:vAlign w:val="top"/>
          </w:tcPr>
          <w:p>
            <w:pPr>
              <w:pStyle w:val="10"/>
              <w:rPr>
                <w:rFonts w:hint="eastAsia" w:ascii="仿宋" w:hAnsi="仿宋" w:eastAsia="仿宋" w:cs="仿宋"/>
                <w:vertAlign w:val="baseline"/>
                <w:lang w:val="en-US" w:eastAsia="zh-CN"/>
              </w:rPr>
            </w:pPr>
          </w:p>
        </w:tc>
        <w:tc>
          <w:tcPr>
            <w:tcW w:w="837" w:type="dxa"/>
            <w:noWrap w:val="0"/>
            <w:vAlign w:val="top"/>
          </w:tcPr>
          <w:p>
            <w:pPr>
              <w:pStyle w:val="10"/>
              <w:rPr>
                <w:rFonts w:hint="eastAsia" w:ascii="仿宋" w:hAnsi="仿宋" w:eastAsia="仿宋" w:cs="仿宋"/>
                <w:vertAlign w:val="baseline"/>
                <w:lang w:val="en-US" w:eastAsia="zh-CN"/>
              </w:rPr>
            </w:pPr>
          </w:p>
        </w:tc>
        <w:tc>
          <w:tcPr>
            <w:tcW w:w="1370" w:type="dxa"/>
            <w:noWrap w:val="0"/>
            <w:vAlign w:val="top"/>
          </w:tcPr>
          <w:p>
            <w:pPr>
              <w:pStyle w:val="10"/>
              <w:rPr>
                <w:rFonts w:hint="eastAsia" w:ascii="仿宋" w:hAnsi="仿宋" w:eastAsia="仿宋" w:cs="仿宋"/>
                <w:vertAlign w:val="baseline"/>
                <w:lang w:val="en-US" w:eastAsia="zh-CN"/>
              </w:rPr>
            </w:pPr>
          </w:p>
        </w:tc>
        <w:tc>
          <w:tcPr>
            <w:tcW w:w="1672" w:type="dxa"/>
            <w:noWrap w:val="0"/>
            <w:vAlign w:val="top"/>
          </w:tcPr>
          <w:p>
            <w:pPr>
              <w:pStyle w:val="1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1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10"/>
              <w:rPr>
                <w:rFonts w:hint="eastAsia" w:ascii="仿宋" w:hAnsi="仿宋" w:eastAsia="仿宋" w:cs="仿宋"/>
                <w:vertAlign w:val="baseline"/>
                <w:lang w:val="en-US" w:eastAsia="zh-CN"/>
              </w:rPr>
            </w:pPr>
          </w:p>
        </w:tc>
      </w:tr>
    </w:tbl>
    <w:p>
      <w:pPr>
        <w:pStyle w:val="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pStyle w:val="33"/>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响应供应商应如实填写表格内的各项内容，提供管理体系认证证书复印件加盖公章，并同时提供全国认证认可信息公共服务平台网站http://cx.cnca.cn/查询的公开信息打印页加盖公章。如全国认证认可信息公共服务平台网站无法查询或网站公开信息与认证证书信息不一致的，响应供应商必须提供发证机构出具的证明函。</w:t>
      </w:r>
    </w:p>
    <w:p>
      <w:pPr>
        <w:pStyle w:val="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2.如果响应供应商未获得采购文件要求的管理体系认证证书，请在上表正文内容第一行填写“无相关认证情况”。</w:t>
      </w:r>
    </w:p>
    <w:p>
      <w:pPr>
        <w:pStyle w:val="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3.所提供信息和资料与本项目采购文件要求无关的，一律不得分。</w:t>
      </w:r>
    </w:p>
    <w:p>
      <w:pPr>
        <w:pStyle w:val="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color w:val="000000"/>
          <w:sz w:val="24"/>
          <w:szCs w:val="24"/>
        </w:rPr>
        <w:t>本表内容不得擅自修改</w:t>
      </w:r>
      <w:r>
        <w:rPr>
          <w:rFonts w:hint="eastAsia" w:ascii="仿宋" w:hAnsi="仿宋" w:eastAsia="仿宋" w:cs="仿宋"/>
          <w:color w:val="000000"/>
          <w:sz w:val="24"/>
          <w:szCs w:val="24"/>
          <w:lang w:eastAsia="zh-CN"/>
        </w:rPr>
        <w:t>。</w:t>
      </w:r>
    </w:p>
    <w:p>
      <w:pPr>
        <w:pStyle w:val="33"/>
        <w:ind w:firstLine="643"/>
        <w:rPr>
          <w:rFonts w:hint="eastAsia" w:ascii="仿宋" w:hAnsi="仿宋" w:eastAsia="仿宋" w:cs="仿宋"/>
          <w:b/>
          <w:sz w:val="32"/>
          <w:szCs w:val="32"/>
        </w:rPr>
      </w:pPr>
    </w:p>
    <w:p>
      <w:pPr>
        <w:pStyle w:val="33"/>
        <w:ind w:firstLine="643"/>
        <w:rPr>
          <w:rFonts w:hint="eastAsia" w:ascii="仿宋" w:hAnsi="仿宋" w:eastAsia="仿宋" w:cs="仿宋"/>
          <w:b/>
          <w:sz w:val="32"/>
          <w:szCs w:val="32"/>
        </w:rPr>
      </w:pP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jc w:val="left"/>
        <w:rPr>
          <w:rFonts w:hint="eastAsia" w:ascii="仿宋" w:hAnsi="仿宋" w:eastAsia="仿宋" w:cs="仿宋"/>
        </w:rPr>
      </w:pPr>
    </w:p>
    <w:p>
      <w:pPr>
        <w:pStyle w:val="33"/>
        <w:ind w:firstLine="641"/>
        <w:rPr>
          <w:rFonts w:hint="eastAsia" w:ascii="仿宋" w:hAnsi="仿宋" w:eastAsia="仿宋" w:cs="仿宋"/>
          <w:b/>
          <w:sz w:val="32"/>
          <w:szCs w:val="32"/>
        </w:rPr>
      </w:pPr>
    </w:p>
    <w:p>
      <w:pPr>
        <w:pStyle w:val="33"/>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3、安全事故指标考核情况承诺函</w:t>
      </w:r>
    </w:p>
    <w:p>
      <w:pPr>
        <w:pStyle w:val="33"/>
        <w:ind w:firstLine="400"/>
        <w:jc w:val="center"/>
        <w:rPr>
          <w:rFonts w:hint="eastAsia" w:ascii="仿宋" w:hAnsi="仿宋" w:eastAsia="仿宋" w:cs="仿宋"/>
          <w:sz w:val="24"/>
          <w:szCs w:val="28"/>
        </w:rPr>
      </w:pPr>
      <w:r>
        <w:rPr>
          <w:rFonts w:hint="eastAsia" w:ascii="仿宋" w:hAnsi="仿宋" w:eastAsia="仿宋" w:cs="仿宋"/>
          <w:sz w:val="24"/>
          <w:szCs w:val="28"/>
        </w:rPr>
        <w:t>（</w:t>
      </w:r>
      <w:r>
        <w:rPr>
          <w:rFonts w:hint="eastAsia" w:ascii="仿宋" w:hAnsi="仿宋" w:eastAsia="仿宋" w:cs="仿宋"/>
          <w:sz w:val="24"/>
          <w:szCs w:val="28"/>
          <w:lang w:val="en-US" w:eastAsia="zh-CN"/>
        </w:rPr>
        <w:t>响应供应商应如实提供，格式可自拟</w:t>
      </w:r>
      <w:r>
        <w:rPr>
          <w:rFonts w:hint="eastAsia" w:ascii="仿宋" w:hAnsi="仿宋" w:eastAsia="仿宋" w:cs="仿宋"/>
          <w:sz w:val="24"/>
          <w:szCs w:val="28"/>
        </w:rPr>
        <w:t>但必须包含以下文字，否则不予计分）</w:t>
      </w:r>
    </w:p>
    <w:p>
      <w:pPr>
        <w:pStyle w:val="33"/>
        <w:shd w:val="clear"/>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3"/>
        <w:shd w:val="clear"/>
        <w:ind w:left="0" w:leftChars="0" w:firstLine="560" w:firstLineChars="200"/>
        <w:rPr>
          <w:rFonts w:hint="default" w:ascii="仿宋" w:hAnsi="仿宋" w:eastAsia="仿宋" w:cs="仿宋"/>
          <w:sz w:val="28"/>
          <w:szCs w:val="40"/>
          <w:lang w:val="en-US" w:eastAsia="zh-CN"/>
        </w:rPr>
      </w:pPr>
      <w:r>
        <w:rPr>
          <w:rFonts w:hint="eastAsia" w:ascii="仿宋" w:hAnsi="仿宋" w:eastAsia="仿宋" w:cs="仿宋"/>
          <w:sz w:val="28"/>
          <w:szCs w:val="40"/>
        </w:rPr>
        <w:t>我司</w:t>
      </w:r>
      <w:r>
        <w:rPr>
          <w:rFonts w:hint="eastAsia" w:ascii="仿宋" w:hAnsi="仿宋" w:eastAsia="仿宋" w:cs="仿宋"/>
          <w:sz w:val="28"/>
          <w:szCs w:val="40"/>
          <w:lang w:val="en-US" w:eastAsia="zh-CN"/>
        </w:rPr>
        <w:t>承诺2022年1月1日至今没有发生过生产安全事故（包括生产安全一般事故、较大事故、重大事故、特别重大事故，以《安全生产法》划分标准为准）。</w:t>
      </w:r>
    </w:p>
    <w:p>
      <w:pPr>
        <w:pStyle w:val="33"/>
        <w:shd w:val="clear"/>
        <w:ind w:left="0" w:leftChars="0" w:firstLine="560" w:firstLineChars="200"/>
        <w:rPr>
          <w:rFonts w:hint="eastAsia" w:ascii="仿宋" w:hAnsi="仿宋" w:eastAsia="仿宋" w:cs="仿宋"/>
          <w:sz w:val="28"/>
          <w:szCs w:val="40"/>
        </w:rPr>
      </w:pPr>
      <w:r>
        <w:rPr>
          <w:rFonts w:hint="default" w:ascii="仿宋" w:hAnsi="仿宋" w:eastAsia="仿宋" w:cs="仿宋"/>
          <w:sz w:val="28"/>
          <w:szCs w:val="40"/>
          <w:lang w:val="en-US" w:eastAsia="zh-CN"/>
        </w:rPr>
        <w:t>特此承诺。</w:t>
      </w:r>
    </w:p>
    <w:p>
      <w:pPr>
        <w:shd w:val="clear"/>
        <w:jc w:val="both"/>
        <w:rPr>
          <w:rFonts w:hint="eastAsia" w:ascii="仿宋" w:hAnsi="仿宋" w:eastAsia="仿宋" w:cs="仿宋"/>
          <w:sz w:val="20"/>
          <w:szCs w:val="20"/>
        </w:rPr>
      </w:pPr>
    </w:p>
    <w:p>
      <w:pPr>
        <w:pStyle w:val="3"/>
        <w:tabs>
          <w:tab w:val="left" w:pos="900"/>
        </w:tabs>
        <w:adjustRightInd w:val="0"/>
        <w:snapToGrid w:val="0"/>
        <w:spacing w:line="360" w:lineRule="auto"/>
        <w:ind w:left="0" w:leftChars="0" w:firstLine="2940" w:firstLineChars="1400"/>
        <w:jc w:val="left"/>
        <w:rPr>
          <w:rFonts w:hint="eastAsia" w:ascii="仿宋" w:hAnsi="仿宋" w:eastAsia="仿宋" w:cs="仿宋"/>
          <w:sz w:val="24"/>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33"/>
        <w:ind w:firstLine="400"/>
        <w:rPr>
          <w:rFonts w:hint="eastAsia" w:ascii="仿宋" w:hAnsi="仿宋" w:eastAsia="仿宋" w:cs="仿宋"/>
        </w:rPr>
        <w:sectPr>
          <w:footerReference r:id="rId7" w:type="default"/>
          <w:pgSz w:w="11906" w:h="16839"/>
          <w:pgMar w:top="1431" w:right="1194" w:bottom="1151" w:left="1672" w:header="0" w:footer="989" w:gutter="0"/>
          <w:pgNumType w:fmt="decimal"/>
          <w:cols w:space="720" w:num="1"/>
        </w:sectPr>
      </w:pPr>
    </w:p>
    <w:p>
      <w:pPr>
        <w:pStyle w:val="33"/>
        <w:ind w:firstLine="400"/>
        <w:rPr>
          <w:rFonts w:hint="eastAsia" w:ascii="仿宋" w:hAnsi="仿宋" w:eastAsia="仿宋" w:cs="仿宋"/>
        </w:rPr>
      </w:pPr>
    </w:p>
    <w:p>
      <w:pPr>
        <w:jc w:val="center"/>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五</w:t>
      </w:r>
      <w:r>
        <w:rPr>
          <w:rFonts w:hint="eastAsia" w:ascii="仿宋" w:hAnsi="仿宋" w:eastAsia="仿宋" w:cs="仿宋"/>
          <w:b/>
          <w:sz w:val="32"/>
          <w:szCs w:val="32"/>
        </w:rPr>
        <w:t>、其他证明材料</w:t>
      </w:r>
    </w:p>
    <w:p>
      <w:pPr>
        <w:pStyle w:val="33"/>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（响应供应商认为需提供的与本采购项目有关的其他证明资料，需注明与本项目的相关性。）</w:t>
      </w:r>
    </w:p>
    <w:p>
      <w:pPr>
        <w:pStyle w:val="33"/>
        <w:ind w:firstLine="400"/>
        <w:rPr>
          <w:rFonts w:hint="eastAsia" w:ascii="仿宋" w:hAnsi="仿宋" w:eastAsia="仿宋" w:cs="仿宋"/>
          <w:b/>
          <w:sz w:val="22"/>
          <w:szCs w:val="22"/>
          <w:highlight w:val="yellow"/>
          <w:lang w:val="en-US" w:eastAsia="zh-CN"/>
        </w:rPr>
      </w:pPr>
    </w:p>
    <w:p>
      <w:pPr>
        <w:pStyle w:val="40"/>
        <w:spacing w:line="400" w:lineRule="exact"/>
        <w:ind w:firstLine="0" w:firstLineChars="0"/>
        <w:jc w:val="center"/>
        <w:rPr>
          <w:rFonts w:hint="eastAsia" w:ascii="仿宋" w:hAnsi="仿宋" w:eastAsia="仿宋" w:cs="仿宋"/>
          <w:b/>
          <w:sz w:val="32"/>
          <w:szCs w:val="32"/>
        </w:rPr>
      </w:pPr>
    </w:p>
    <w:p>
      <w:pPr>
        <w:pStyle w:val="40"/>
        <w:spacing w:line="400" w:lineRule="exact"/>
        <w:ind w:firstLine="0" w:firstLineChars="0"/>
        <w:jc w:val="center"/>
        <w:rPr>
          <w:rFonts w:hint="eastAsia" w:ascii="仿宋" w:hAnsi="仿宋" w:eastAsia="仿宋" w:cs="仿宋"/>
          <w:b/>
          <w:sz w:val="32"/>
          <w:szCs w:val="32"/>
        </w:rPr>
      </w:pPr>
    </w:p>
    <w:p>
      <w:pPr>
        <w:pStyle w:val="33"/>
        <w:ind w:firstLine="400"/>
        <w:rPr>
          <w:rFonts w:hint="eastAsia" w:ascii="仿宋" w:hAnsi="仿宋" w:eastAsia="仿宋" w:cs="仿宋"/>
        </w:rPr>
      </w:pPr>
    </w:p>
    <w:p>
      <w:pPr>
        <w:pStyle w:val="33"/>
        <w:ind w:firstLine="400"/>
        <w:rPr>
          <w:rFonts w:hint="eastAsia" w:ascii="仿宋" w:hAnsi="仿宋" w:eastAsia="仿宋" w:cs="仿宋"/>
          <w:szCs w:val="21"/>
          <w:lang w:val="en-GB"/>
        </w:rPr>
      </w:pPr>
    </w:p>
    <w:p>
      <w:pPr>
        <w:spacing w:line="360" w:lineRule="auto"/>
        <w:ind w:left="0" w:leftChars="0" w:firstLine="3578" w:firstLineChars="1491"/>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left="0" w:leftChars="0" w:firstLine="3578" w:firstLineChars="1491"/>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left="0" w:leftChars="0" w:firstLine="3578" w:firstLineChars="1491"/>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center"/>
        <w:rPr>
          <w:rFonts w:hint="eastAsia" w:ascii="仿宋" w:hAnsi="仿宋" w:eastAsia="仿宋" w:cs="仿宋"/>
          <w:sz w:val="24"/>
        </w:rPr>
      </w:pPr>
    </w:p>
    <w:p>
      <w:pPr>
        <w:pStyle w:val="33"/>
        <w:ind w:firstLine="400"/>
        <w:rPr>
          <w:rFonts w:hint="eastAsia" w:ascii="仿宋" w:hAnsi="仿宋" w:eastAsia="仿宋" w:cs="仿宋"/>
          <w:szCs w:val="21"/>
          <w:lang w:val="en-GB"/>
        </w:rPr>
      </w:pPr>
    </w:p>
    <w:p>
      <w:pPr>
        <w:pStyle w:val="36"/>
        <w:rPr>
          <w:rFonts w:hint="eastAsia" w:ascii="仿宋" w:hAnsi="仿宋" w:eastAsia="仿宋" w:cs="仿宋"/>
        </w:rPr>
      </w:pPr>
    </w:p>
    <w:p>
      <w:pPr>
        <w:jc w:val="center"/>
        <w:rPr>
          <w:rFonts w:hint="eastAsia" w:ascii="仿宋" w:hAnsi="仿宋" w:eastAsia="仿宋" w:cs="仿宋"/>
          <w:color w:val="auto"/>
          <w:kern w:val="2"/>
          <w:sz w:val="21"/>
          <w:szCs w:val="21"/>
          <w:highlight w:val="none"/>
          <w:lang w:val="en-US" w:eastAsia="zh-CN" w:bidi="ar-SA"/>
        </w:rPr>
      </w:pPr>
    </w:p>
    <w:p/>
    <w:p/>
    <w:p/>
    <w:p/>
    <w:p>
      <w:pPr>
        <w:rPr>
          <w:rFonts w:hint="eastAsia" w:ascii="仿宋" w:hAnsi="仿宋" w:eastAsia="仿宋" w:cs="仿宋"/>
          <w:b/>
          <w:bCs/>
          <w:sz w:val="32"/>
          <w:szCs w:val="32"/>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sectPr>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E0B709B0-FFD1-4B75-B2F0-1B595C5B2584}"/>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D58CC7F5-EB42-43C0-A7B3-9F10F71E3CF0}"/>
  </w:font>
  <w:font w:name="微软雅黑">
    <w:panose1 w:val="020B0503020204020204"/>
    <w:charset w:val="86"/>
    <w:family w:val="swiss"/>
    <w:pitch w:val="default"/>
    <w:sig w:usb0="80000287" w:usb1="2ACF3C50" w:usb2="00000016" w:usb3="00000000" w:csb0="0004001F" w:csb1="00000000"/>
    <w:embedRegular r:id="rId3" w:fontKey="{0897DBA8-743A-44B6-8636-08E89948DB3D}"/>
  </w:font>
  <w:font w:name="华文仿宋">
    <w:panose1 w:val="02010600040101010101"/>
    <w:charset w:val="86"/>
    <w:family w:val="auto"/>
    <w:pitch w:val="default"/>
    <w:sig w:usb0="00000287" w:usb1="080F0000" w:usb2="00000000" w:usb3="00000000" w:csb0="0004009F" w:csb1="DFD70000"/>
    <w:embedRegular r:id="rId4" w:fontKey="{4FE2CCA3-6B47-4FF7-9067-B3AC7325CEC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81"/>
      </w:tabs>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81"/>
      </w:tabs>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1CB98"/>
    <w:multiLevelType w:val="singleLevel"/>
    <w:tmpl w:val="8D11CB98"/>
    <w:lvl w:ilvl="0" w:tentative="0">
      <w:start w:val="1"/>
      <w:numFmt w:val="decimal"/>
      <w:lvlText w:val="(%1)"/>
      <w:lvlJc w:val="left"/>
      <w:pPr>
        <w:ind w:left="425" w:hanging="425"/>
      </w:pPr>
      <w:rPr>
        <w:rFonts w:hint="default" w:ascii="Times New Roman" w:hAnsi="Times New Roman" w:eastAsia="仿宋" w:cs="Times New Roman"/>
        <w:sz w:val="20"/>
        <w:szCs w:val="20"/>
      </w:rPr>
    </w:lvl>
  </w:abstractNum>
  <w:abstractNum w:abstractNumId="1">
    <w:nsid w:val="A83D0D91"/>
    <w:multiLevelType w:val="singleLevel"/>
    <w:tmpl w:val="A83D0D91"/>
    <w:lvl w:ilvl="0" w:tentative="0">
      <w:start w:val="1"/>
      <w:numFmt w:val="decimal"/>
      <w:lvlText w:val="(%1)"/>
      <w:lvlJc w:val="left"/>
      <w:pPr>
        <w:ind w:left="425" w:hanging="425"/>
      </w:pPr>
      <w:rPr>
        <w:rFonts w:hint="default"/>
      </w:rPr>
    </w:lvl>
  </w:abstractNum>
  <w:abstractNum w:abstractNumId="2">
    <w:nsid w:val="A8E3DB24"/>
    <w:multiLevelType w:val="singleLevel"/>
    <w:tmpl w:val="A8E3DB24"/>
    <w:lvl w:ilvl="0" w:tentative="0">
      <w:start w:val="1"/>
      <w:numFmt w:val="decimal"/>
      <w:lvlText w:val="(%1)"/>
      <w:lvlJc w:val="left"/>
      <w:pPr>
        <w:ind w:left="425" w:hanging="425"/>
      </w:pPr>
      <w:rPr>
        <w:rFonts w:hint="default"/>
      </w:rPr>
    </w:lvl>
  </w:abstractNum>
  <w:abstractNum w:abstractNumId="3">
    <w:nsid w:val="B2327636"/>
    <w:multiLevelType w:val="singleLevel"/>
    <w:tmpl w:val="B2327636"/>
    <w:lvl w:ilvl="0" w:tentative="0">
      <w:start w:val="1"/>
      <w:numFmt w:val="decimalEnclosedCircleChinese"/>
      <w:suff w:val="nothing"/>
      <w:lvlText w:val="%1　"/>
      <w:lvlJc w:val="left"/>
      <w:pPr>
        <w:ind w:left="0" w:firstLine="400"/>
      </w:pPr>
      <w:rPr>
        <w:rFonts w:hint="eastAsia"/>
        <w:b w:val="0"/>
        <w:bCs w:val="0"/>
        <w:sz w:val="18"/>
        <w:szCs w:val="18"/>
      </w:rPr>
    </w:lvl>
  </w:abstractNum>
  <w:abstractNum w:abstractNumId="4">
    <w:nsid w:val="B3124AFE"/>
    <w:multiLevelType w:val="singleLevel"/>
    <w:tmpl w:val="B3124AFE"/>
    <w:lvl w:ilvl="0" w:tentative="0">
      <w:start w:val="1"/>
      <w:numFmt w:val="decimal"/>
      <w:lvlText w:val="(%1)"/>
      <w:lvlJc w:val="left"/>
      <w:pPr>
        <w:ind w:left="425" w:hanging="425"/>
      </w:pPr>
      <w:rPr>
        <w:rFonts w:hint="default" w:ascii="Times New Roman" w:hAnsi="Times New Roman" w:cs="Times New Roman"/>
        <w:sz w:val="20"/>
        <w:szCs w:val="20"/>
      </w:rPr>
    </w:lvl>
  </w:abstractNum>
  <w:abstractNum w:abstractNumId="5">
    <w:nsid w:val="B3D4428F"/>
    <w:multiLevelType w:val="singleLevel"/>
    <w:tmpl w:val="B3D4428F"/>
    <w:lvl w:ilvl="0" w:tentative="0">
      <w:start w:val="1"/>
      <w:numFmt w:val="decimal"/>
      <w:lvlText w:val="(%1)"/>
      <w:lvlJc w:val="left"/>
      <w:pPr>
        <w:ind w:left="425" w:hanging="425"/>
      </w:pPr>
      <w:rPr>
        <w:rFonts w:hint="default"/>
      </w:rPr>
    </w:lvl>
  </w:abstractNum>
  <w:abstractNum w:abstractNumId="6">
    <w:nsid w:val="B675826F"/>
    <w:multiLevelType w:val="singleLevel"/>
    <w:tmpl w:val="B675826F"/>
    <w:lvl w:ilvl="0" w:tentative="0">
      <w:start w:val="6"/>
      <w:numFmt w:val="chineseCounting"/>
      <w:suff w:val="nothing"/>
      <w:lvlText w:val="%1、"/>
      <w:lvlJc w:val="left"/>
      <w:rPr>
        <w:rFonts w:hint="eastAsia"/>
      </w:rPr>
    </w:lvl>
  </w:abstractNum>
  <w:abstractNum w:abstractNumId="7">
    <w:nsid w:val="D20D8754"/>
    <w:multiLevelType w:val="singleLevel"/>
    <w:tmpl w:val="D20D8754"/>
    <w:lvl w:ilvl="0" w:tentative="0">
      <w:start w:val="7"/>
      <w:numFmt w:val="decimal"/>
      <w:suff w:val="nothing"/>
      <w:lvlText w:val="%1、"/>
      <w:lvlJc w:val="left"/>
    </w:lvl>
  </w:abstractNum>
  <w:abstractNum w:abstractNumId="8">
    <w:nsid w:val="D68F0C12"/>
    <w:multiLevelType w:val="singleLevel"/>
    <w:tmpl w:val="D68F0C12"/>
    <w:lvl w:ilvl="0" w:tentative="0">
      <w:start w:val="1"/>
      <w:numFmt w:val="decimal"/>
      <w:lvlText w:val="(%1)"/>
      <w:lvlJc w:val="left"/>
      <w:pPr>
        <w:ind w:left="425" w:hanging="425"/>
      </w:pPr>
      <w:rPr>
        <w:rFonts w:hint="default"/>
      </w:rPr>
    </w:lvl>
  </w:abstractNum>
  <w:abstractNum w:abstractNumId="9">
    <w:nsid w:val="D85FF4B2"/>
    <w:multiLevelType w:val="singleLevel"/>
    <w:tmpl w:val="D85FF4B2"/>
    <w:lvl w:ilvl="0" w:tentative="0">
      <w:start w:val="1"/>
      <w:numFmt w:val="decimal"/>
      <w:lvlText w:val="(%1)"/>
      <w:lvlJc w:val="left"/>
      <w:pPr>
        <w:ind w:left="425" w:hanging="425"/>
      </w:pPr>
      <w:rPr>
        <w:rFonts w:hint="default"/>
      </w:rPr>
    </w:lvl>
  </w:abstractNum>
  <w:abstractNum w:abstractNumId="10">
    <w:nsid w:val="DBF57C76"/>
    <w:multiLevelType w:val="singleLevel"/>
    <w:tmpl w:val="DBF57C76"/>
    <w:lvl w:ilvl="0" w:tentative="0">
      <w:start w:val="1"/>
      <w:numFmt w:val="decimalEnclosedCircleChinese"/>
      <w:suff w:val="nothing"/>
      <w:lvlText w:val="%1　"/>
      <w:lvlJc w:val="left"/>
      <w:pPr>
        <w:ind w:left="0" w:firstLine="400"/>
      </w:pPr>
      <w:rPr>
        <w:rFonts w:hint="eastAsia"/>
        <w:sz w:val="20"/>
        <w:szCs w:val="20"/>
      </w:rPr>
    </w:lvl>
  </w:abstractNum>
  <w:abstractNum w:abstractNumId="11">
    <w:nsid w:val="E177FDE4"/>
    <w:multiLevelType w:val="singleLevel"/>
    <w:tmpl w:val="E177FDE4"/>
    <w:lvl w:ilvl="0" w:tentative="0">
      <w:start w:val="1"/>
      <w:numFmt w:val="decimal"/>
      <w:lvlText w:val="(%1)"/>
      <w:lvlJc w:val="left"/>
      <w:pPr>
        <w:ind w:left="425" w:hanging="425"/>
      </w:pPr>
      <w:rPr>
        <w:rFonts w:hint="default"/>
      </w:rPr>
    </w:lvl>
  </w:abstractNum>
  <w:abstractNum w:abstractNumId="12">
    <w:nsid w:val="EFDE7422"/>
    <w:multiLevelType w:val="singleLevel"/>
    <w:tmpl w:val="EFDE7422"/>
    <w:lvl w:ilvl="0" w:tentative="0">
      <w:start w:val="1"/>
      <w:numFmt w:val="decimal"/>
      <w:lvlText w:val="(%1)"/>
      <w:lvlJc w:val="left"/>
      <w:pPr>
        <w:ind w:left="425" w:hanging="425"/>
      </w:pPr>
      <w:rPr>
        <w:rFonts w:hint="default"/>
      </w:rPr>
    </w:lvl>
  </w:abstractNum>
  <w:abstractNum w:abstractNumId="13">
    <w:nsid w:val="F7F48E70"/>
    <w:multiLevelType w:val="singleLevel"/>
    <w:tmpl w:val="F7F48E70"/>
    <w:lvl w:ilvl="0" w:tentative="0">
      <w:start w:val="2"/>
      <w:numFmt w:val="chineseCounting"/>
      <w:suff w:val="nothing"/>
      <w:lvlText w:val="（%1）"/>
      <w:lvlJc w:val="left"/>
      <w:rPr>
        <w:rFonts w:hint="eastAsia"/>
      </w:rPr>
    </w:lvl>
  </w:abstractNum>
  <w:abstractNum w:abstractNumId="14">
    <w:nsid w:val="F8FFE91E"/>
    <w:multiLevelType w:val="singleLevel"/>
    <w:tmpl w:val="F8FFE91E"/>
    <w:lvl w:ilvl="0" w:tentative="0">
      <w:start w:val="1"/>
      <w:numFmt w:val="decimal"/>
      <w:lvlText w:val="(%1)"/>
      <w:lvlJc w:val="left"/>
      <w:pPr>
        <w:ind w:left="425" w:hanging="425"/>
      </w:pPr>
      <w:rPr>
        <w:rFonts w:hint="default"/>
      </w:rPr>
    </w:lvl>
  </w:abstractNum>
  <w:abstractNum w:abstractNumId="15">
    <w:nsid w:val="03941029"/>
    <w:multiLevelType w:val="singleLevel"/>
    <w:tmpl w:val="03941029"/>
    <w:lvl w:ilvl="0" w:tentative="0">
      <w:start w:val="1"/>
      <w:numFmt w:val="decimal"/>
      <w:lvlText w:val="(%1)"/>
      <w:lvlJc w:val="left"/>
      <w:pPr>
        <w:ind w:left="425" w:hanging="425"/>
      </w:pPr>
      <w:rPr>
        <w:rFonts w:hint="default" w:ascii="Times New Roman" w:hAnsi="Times New Roman" w:cs="Times New Roman"/>
        <w:sz w:val="20"/>
        <w:szCs w:val="20"/>
      </w:rPr>
    </w:lvl>
  </w:abstractNum>
  <w:abstractNum w:abstractNumId="16">
    <w:nsid w:val="08B67DD3"/>
    <w:multiLevelType w:val="singleLevel"/>
    <w:tmpl w:val="08B67DD3"/>
    <w:lvl w:ilvl="0" w:tentative="0">
      <w:start w:val="1"/>
      <w:numFmt w:val="chineseCounting"/>
      <w:suff w:val="nothing"/>
      <w:lvlText w:val="%1、"/>
      <w:lvlJc w:val="left"/>
      <w:rPr>
        <w:rFonts w:hint="eastAsia"/>
      </w:rPr>
    </w:lvl>
  </w:abstractNum>
  <w:abstractNum w:abstractNumId="17">
    <w:nsid w:val="1D5B8C1B"/>
    <w:multiLevelType w:val="singleLevel"/>
    <w:tmpl w:val="1D5B8C1B"/>
    <w:lvl w:ilvl="0" w:tentative="0">
      <w:start w:val="1"/>
      <w:numFmt w:val="decimal"/>
      <w:lvlText w:val="(%1)"/>
      <w:lvlJc w:val="left"/>
      <w:pPr>
        <w:ind w:left="425" w:hanging="425"/>
      </w:pPr>
      <w:rPr>
        <w:rFonts w:hint="default" w:ascii="Times New Roman" w:hAnsi="Times New Roman" w:cs="Times New Roman"/>
        <w:sz w:val="20"/>
        <w:szCs w:val="20"/>
      </w:rPr>
    </w:lvl>
  </w:abstractNum>
  <w:abstractNum w:abstractNumId="18">
    <w:nsid w:val="1E9E565D"/>
    <w:multiLevelType w:val="singleLevel"/>
    <w:tmpl w:val="1E9E565D"/>
    <w:lvl w:ilvl="0" w:tentative="0">
      <w:start w:val="2"/>
      <w:numFmt w:val="decimal"/>
      <w:suff w:val="nothing"/>
      <w:lvlText w:val="（%1）"/>
      <w:lvlJc w:val="left"/>
    </w:lvl>
  </w:abstractNum>
  <w:abstractNum w:abstractNumId="19">
    <w:nsid w:val="2D78D76F"/>
    <w:multiLevelType w:val="singleLevel"/>
    <w:tmpl w:val="2D78D76F"/>
    <w:lvl w:ilvl="0" w:tentative="0">
      <w:start w:val="3"/>
      <w:numFmt w:val="chineseCounting"/>
      <w:suff w:val="nothing"/>
      <w:lvlText w:val="%1、"/>
      <w:lvlJc w:val="left"/>
      <w:rPr>
        <w:rFonts w:hint="eastAsia"/>
      </w:rPr>
    </w:lvl>
  </w:abstractNum>
  <w:abstractNum w:abstractNumId="20">
    <w:nsid w:val="35F83885"/>
    <w:multiLevelType w:val="singleLevel"/>
    <w:tmpl w:val="35F83885"/>
    <w:lvl w:ilvl="0" w:tentative="0">
      <w:start w:val="1"/>
      <w:numFmt w:val="decimal"/>
      <w:lvlText w:val="(%1)"/>
      <w:lvlJc w:val="left"/>
      <w:pPr>
        <w:ind w:left="425" w:hanging="425"/>
      </w:pPr>
      <w:rPr>
        <w:rFonts w:hint="default"/>
      </w:rPr>
    </w:lvl>
  </w:abstractNum>
  <w:abstractNum w:abstractNumId="21">
    <w:nsid w:val="3879757A"/>
    <w:multiLevelType w:val="singleLevel"/>
    <w:tmpl w:val="3879757A"/>
    <w:lvl w:ilvl="0" w:tentative="0">
      <w:start w:val="5"/>
      <w:numFmt w:val="decimal"/>
      <w:suff w:val="nothing"/>
      <w:lvlText w:val="%1、"/>
      <w:lvlJc w:val="left"/>
    </w:lvl>
  </w:abstractNum>
  <w:abstractNum w:abstractNumId="22">
    <w:nsid w:val="481F47F0"/>
    <w:multiLevelType w:val="singleLevel"/>
    <w:tmpl w:val="481F47F0"/>
    <w:lvl w:ilvl="0" w:tentative="0">
      <w:start w:val="1"/>
      <w:numFmt w:val="chineseCounting"/>
      <w:suff w:val="nothing"/>
      <w:lvlText w:val="%1、"/>
      <w:lvlJc w:val="left"/>
      <w:rPr>
        <w:rFonts w:hint="eastAsia"/>
      </w:rPr>
    </w:lvl>
  </w:abstractNum>
  <w:abstractNum w:abstractNumId="23">
    <w:nsid w:val="5633E032"/>
    <w:multiLevelType w:val="singleLevel"/>
    <w:tmpl w:val="5633E032"/>
    <w:lvl w:ilvl="0" w:tentative="0">
      <w:start w:val="1"/>
      <w:numFmt w:val="decimal"/>
      <w:lvlText w:val="(%1)"/>
      <w:lvlJc w:val="left"/>
      <w:pPr>
        <w:ind w:left="425" w:hanging="425"/>
      </w:pPr>
      <w:rPr>
        <w:rFonts w:hint="default"/>
      </w:rPr>
    </w:lvl>
  </w:abstractNum>
  <w:abstractNum w:abstractNumId="24">
    <w:nsid w:val="5FE2C1B6"/>
    <w:multiLevelType w:val="singleLevel"/>
    <w:tmpl w:val="5FE2C1B6"/>
    <w:lvl w:ilvl="0" w:tentative="0">
      <w:start w:val="6"/>
      <w:numFmt w:val="decimal"/>
      <w:lvlText w:val="%1."/>
      <w:lvlJc w:val="left"/>
      <w:pPr>
        <w:tabs>
          <w:tab w:val="left" w:pos="312"/>
        </w:tabs>
      </w:pPr>
    </w:lvl>
  </w:abstractNum>
  <w:abstractNum w:abstractNumId="25">
    <w:nsid w:val="6F515B75"/>
    <w:multiLevelType w:val="singleLevel"/>
    <w:tmpl w:val="6F515B75"/>
    <w:lvl w:ilvl="0" w:tentative="0">
      <w:start w:val="1"/>
      <w:numFmt w:val="decimal"/>
      <w:suff w:val="nothing"/>
      <w:lvlText w:val="%1、"/>
      <w:lvlJc w:val="left"/>
      <w:pPr>
        <w:ind w:left="-2"/>
      </w:pPr>
    </w:lvl>
  </w:abstractNum>
  <w:abstractNum w:abstractNumId="26">
    <w:nsid w:val="78348625"/>
    <w:multiLevelType w:val="singleLevel"/>
    <w:tmpl w:val="78348625"/>
    <w:lvl w:ilvl="0" w:tentative="0">
      <w:start w:val="1"/>
      <w:numFmt w:val="chineseCounting"/>
      <w:suff w:val="nothing"/>
      <w:lvlText w:val="（%1）"/>
      <w:lvlJc w:val="left"/>
      <w:rPr>
        <w:rFonts w:hint="eastAsia"/>
      </w:rPr>
    </w:lvl>
  </w:abstractNum>
  <w:num w:numId="1">
    <w:abstractNumId w:val="19"/>
  </w:num>
  <w:num w:numId="2">
    <w:abstractNumId w:val="6"/>
  </w:num>
  <w:num w:numId="3">
    <w:abstractNumId w:val="22"/>
  </w:num>
  <w:num w:numId="4">
    <w:abstractNumId w:val="26"/>
  </w:num>
  <w:num w:numId="5">
    <w:abstractNumId w:val="24"/>
  </w:num>
  <w:num w:numId="6">
    <w:abstractNumId w:val="21"/>
  </w:num>
  <w:num w:numId="7">
    <w:abstractNumId w:val="18"/>
  </w:num>
  <w:num w:numId="8">
    <w:abstractNumId w:val="14"/>
  </w:num>
  <w:num w:numId="9">
    <w:abstractNumId w:val="10"/>
  </w:num>
  <w:num w:numId="10">
    <w:abstractNumId w:val="1"/>
  </w:num>
  <w:num w:numId="11">
    <w:abstractNumId w:val="11"/>
  </w:num>
  <w:num w:numId="12">
    <w:abstractNumId w:val="9"/>
  </w:num>
  <w:num w:numId="13">
    <w:abstractNumId w:val="2"/>
  </w:num>
  <w:num w:numId="14">
    <w:abstractNumId w:val="12"/>
  </w:num>
  <w:num w:numId="15">
    <w:abstractNumId w:val="23"/>
  </w:num>
  <w:num w:numId="16">
    <w:abstractNumId w:val="16"/>
  </w:num>
  <w:num w:numId="17">
    <w:abstractNumId w:val="7"/>
  </w:num>
  <w:num w:numId="18">
    <w:abstractNumId w:val="20"/>
  </w:num>
  <w:num w:numId="19">
    <w:abstractNumId w:val="3"/>
  </w:num>
  <w:num w:numId="20">
    <w:abstractNumId w:val="5"/>
  </w:num>
  <w:num w:numId="21">
    <w:abstractNumId w:val="8"/>
  </w:num>
  <w:num w:numId="22">
    <w:abstractNumId w:val="0"/>
  </w:num>
  <w:num w:numId="23">
    <w:abstractNumId w:val="15"/>
  </w:num>
  <w:num w:numId="24">
    <w:abstractNumId w:val="4"/>
  </w:num>
  <w:num w:numId="25">
    <w:abstractNumId w:val="17"/>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Yzc1ODY3M2ZjMGZkNDQ4Y2JhMTQ5MWE3MDJjMTkifQ=="/>
  </w:docVars>
  <w:rsids>
    <w:rsidRoot w:val="00000000"/>
    <w:rsid w:val="000515D7"/>
    <w:rsid w:val="000F643D"/>
    <w:rsid w:val="002E01C1"/>
    <w:rsid w:val="00351550"/>
    <w:rsid w:val="00352AA2"/>
    <w:rsid w:val="003C40FB"/>
    <w:rsid w:val="004B5C97"/>
    <w:rsid w:val="004C31BE"/>
    <w:rsid w:val="00557259"/>
    <w:rsid w:val="005F6E80"/>
    <w:rsid w:val="00645991"/>
    <w:rsid w:val="0069744B"/>
    <w:rsid w:val="00AE4E5E"/>
    <w:rsid w:val="00BE32F3"/>
    <w:rsid w:val="00C11035"/>
    <w:rsid w:val="00E63C1B"/>
    <w:rsid w:val="00EB7E60"/>
    <w:rsid w:val="00F66F31"/>
    <w:rsid w:val="011D2710"/>
    <w:rsid w:val="012A1CAE"/>
    <w:rsid w:val="0132783D"/>
    <w:rsid w:val="013456BD"/>
    <w:rsid w:val="013E4434"/>
    <w:rsid w:val="01521C8D"/>
    <w:rsid w:val="015D6C7C"/>
    <w:rsid w:val="017A0040"/>
    <w:rsid w:val="01871BBE"/>
    <w:rsid w:val="019519E2"/>
    <w:rsid w:val="019D4A36"/>
    <w:rsid w:val="019F33EB"/>
    <w:rsid w:val="01A56261"/>
    <w:rsid w:val="01A7022B"/>
    <w:rsid w:val="01A949D5"/>
    <w:rsid w:val="01AA7D1B"/>
    <w:rsid w:val="01AB5316"/>
    <w:rsid w:val="01B36CD0"/>
    <w:rsid w:val="01BF37C7"/>
    <w:rsid w:val="01C37937"/>
    <w:rsid w:val="01CB0B5A"/>
    <w:rsid w:val="01CB14D4"/>
    <w:rsid w:val="01DA2D9E"/>
    <w:rsid w:val="01E02231"/>
    <w:rsid w:val="01F36FCC"/>
    <w:rsid w:val="01F62F61"/>
    <w:rsid w:val="01FA6CF6"/>
    <w:rsid w:val="02012CC2"/>
    <w:rsid w:val="024E4B4B"/>
    <w:rsid w:val="02535CBD"/>
    <w:rsid w:val="025648B4"/>
    <w:rsid w:val="0261487E"/>
    <w:rsid w:val="0261563C"/>
    <w:rsid w:val="026B1746"/>
    <w:rsid w:val="027125E7"/>
    <w:rsid w:val="027F2F56"/>
    <w:rsid w:val="028247F4"/>
    <w:rsid w:val="029554EB"/>
    <w:rsid w:val="029877CB"/>
    <w:rsid w:val="02BA6838"/>
    <w:rsid w:val="02C1531D"/>
    <w:rsid w:val="02D5369F"/>
    <w:rsid w:val="02E3314E"/>
    <w:rsid w:val="031908E6"/>
    <w:rsid w:val="031A4A2D"/>
    <w:rsid w:val="031D0480"/>
    <w:rsid w:val="0341020B"/>
    <w:rsid w:val="0347668D"/>
    <w:rsid w:val="035B7B35"/>
    <w:rsid w:val="035C6BEC"/>
    <w:rsid w:val="03842532"/>
    <w:rsid w:val="03870314"/>
    <w:rsid w:val="038D5B12"/>
    <w:rsid w:val="03901F77"/>
    <w:rsid w:val="03A10CAA"/>
    <w:rsid w:val="03A5079A"/>
    <w:rsid w:val="03A72764"/>
    <w:rsid w:val="03A964DC"/>
    <w:rsid w:val="03AE6494"/>
    <w:rsid w:val="03CC06C2"/>
    <w:rsid w:val="03D66BA6"/>
    <w:rsid w:val="03F31506"/>
    <w:rsid w:val="03FB485E"/>
    <w:rsid w:val="04042A2C"/>
    <w:rsid w:val="04114082"/>
    <w:rsid w:val="041641A1"/>
    <w:rsid w:val="041727A6"/>
    <w:rsid w:val="04177352"/>
    <w:rsid w:val="041807DF"/>
    <w:rsid w:val="04194CE4"/>
    <w:rsid w:val="04254C1F"/>
    <w:rsid w:val="043B4291"/>
    <w:rsid w:val="043D6C25"/>
    <w:rsid w:val="04402F38"/>
    <w:rsid w:val="044216AA"/>
    <w:rsid w:val="0442172A"/>
    <w:rsid w:val="04472DF8"/>
    <w:rsid w:val="0455069A"/>
    <w:rsid w:val="04553F6E"/>
    <w:rsid w:val="046B3792"/>
    <w:rsid w:val="046C1CCC"/>
    <w:rsid w:val="04710B23"/>
    <w:rsid w:val="04732647"/>
    <w:rsid w:val="047A39D5"/>
    <w:rsid w:val="04844854"/>
    <w:rsid w:val="049D5915"/>
    <w:rsid w:val="04A808CB"/>
    <w:rsid w:val="04AA5D15"/>
    <w:rsid w:val="04B01740"/>
    <w:rsid w:val="04BD1B14"/>
    <w:rsid w:val="04BF3ADE"/>
    <w:rsid w:val="04C410F4"/>
    <w:rsid w:val="04C44C50"/>
    <w:rsid w:val="04DA6B4D"/>
    <w:rsid w:val="04E13A54"/>
    <w:rsid w:val="04EA30F5"/>
    <w:rsid w:val="04EB48D3"/>
    <w:rsid w:val="04ED2C67"/>
    <w:rsid w:val="04FA4B16"/>
    <w:rsid w:val="051A79BA"/>
    <w:rsid w:val="0530678A"/>
    <w:rsid w:val="053A3164"/>
    <w:rsid w:val="055749B2"/>
    <w:rsid w:val="055929F6"/>
    <w:rsid w:val="056D52E8"/>
    <w:rsid w:val="057B1F52"/>
    <w:rsid w:val="058A5E9A"/>
    <w:rsid w:val="058F1340"/>
    <w:rsid w:val="0596483F"/>
    <w:rsid w:val="059C769C"/>
    <w:rsid w:val="05A94B09"/>
    <w:rsid w:val="05B25D00"/>
    <w:rsid w:val="05BE3D95"/>
    <w:rsid w:val="05D97573"/>
    <w:rsid w:val="05DA3605"/>
    <w:rsid w:val="05DE7F94"/>
    <w:rsid w:val="05E0766C"/>
    <w:rsid w:val="05EB64E3"/>
    <w:rsid w:val="05F03B35"/>
    <w:rsid w:val="05F176EB"/>
    <w:rsid w:val="05F17CC7"/>
    <w:rsid w:val="05F45A09"/>
    <w:rsid w:val="05F544C1"/>
    <w:rsid w:val="06147E59"/>
    <w:rsid w:val="06175254"/>
    <w:rsid w:val="06227AE0"/>
    <w:rsid w:val="0627193B"/>
    <w:rsid w:val="0636392C"/>
    <w:rsid w:val="063B7194"/>
    <w:rsid w:val="06415503"/>
    <w:rsid w:val="06474FFE"/>
    <w:rsid w:val="064F0B33"/>
    <w:rsid w:val="065E2D1E"/>
    <w:rsid w:val="06604E4C"/>
    <w:rsid w:val="066761DB"/>
    <w:rsid w:val="06695AAF"/>
    <w:rsid w:val="06721E43"/>
    <w:rsid w:val="06915006"/>
    <w:rsid w:val="069468A4"/>
    <w:rsid w:val="06956ECC"/>
    <w:rsid w:val="069B7C33"/>
    <w:rsid w:val="06A70A91"/>
    <w:rsid w:val="06BF7148"/>
    <w:rsid w:val="06C3238E"/>
    <w:rsid w:val="06D03D80"/>
    <w:rsid w:val="06D80E87"/>
    <w:rsid w:val="06DD649D"/>
    <w:rsid w:val="06E86F68"/>
    <w:rsid w:val="06E93526"/>
    <w:rsid w:val="06F832D7"/>
    <w:rsid w:val="06F85F55"/>
    <w:rsid w:val="070007F9"/>
    <w:rsid w:val="07041C7C"/>
    <w:rsid w:val="071D5F97"/>
    <w:rsid w:val="071D689A"/>
    <w:rsid w:val="07230354"/>
    <w:rsid w:val="07245E7A"/>
    <w:rsid w:val="07246A32"/>
    <w:rsid w:val="07375BAD"/>
    <w:rsid w:val="074B78AB"/>
    <w:rsid w:val="07520C39"/>
    <w:rsid w:val="07612C3D"/>
    <w:rsid w:val="07722D87"/>
    <w:rsid w:val="077F6D24"/>
    <w:rsid w:val="07943000"/>
    <w:rsid w:val="079E79DA"/>
    <w:rsid w:val="07A019A5"/>
    <w:rsid w:val="07B0770E"/>
    <w:rsid w:val="07C80E13"/>
    <w:rsid w:val="07C81D7B"/>
    <w:rsid w:val="07D94EB6"/>
    <w:rsid w:val="07DD1901"/>
    <w:rsid w:val="07E01DA1"/>
    <w:rsid w:val="07EA0E72"/>
    <w:rsid w:val="07F86FD0"/>
    <w:rsid w:val="08163A15"/>
    <w:rsid w:val="081F7C9A"/>
    <w:rsid w:val="0822060B"/>
    <w:rsid w:val="083C7E5C"/>
    <w:rsid w:val="084F212B"/>
    <w:rsid w:val="08511DEB"/>
    <w:rsid w:val="087557F4"/>
    <w:rsid w:val="087D7E42"/>
    <w:rsid w:val="08955281"/>
    <w:rsid w:val="08A2174C"/>
    <w:rsid w:val="08F234A7"/>
    <w:rsid w:val="08FD4BD5"/>
    <w:rsid w:val="09045F63"/>
    <w:rsid w:val="0909688E"/>
    <w:rsid w:val="092C393D"/>
    <w:rsid w:val="09320D22"/>
    <w:rsid w:val="094620D8"/>
    <w:rsid w:val="09532A47"/>
    <w:rsid w:val="09682A95"/>
    <w:rsid w:val="097529BD"/>
    <w:rsid w:val="09756B79"/>
    <w:rsid w:val="0978425B"/>
    <w:rsid w:val="098018B6"/>
    <w:rsid w:val="098415EF"/>
    <w:rsid w:val="09866978"/>
    <w:rsid w:val="09896FC8"/>
    <w:rsid w:val="099472E7"/>
    <w:rsid w:val="0998469B"/>
    <w:rsid w:val="099E4BD4"/>
    <w:rsid w:val="09A45050"/>
    <w:rsid w:val="09C33728"/>
    <w:rsid w:val="09C6172E"/>
    <w:rsid w:val="09CB6A81"/>
    <w:rsid w:val="09CC40BF"/>
    <w:rsid w:val="09D27E0F"/>
    <w:rsid w:val="09D516AE"/>
    <w:rsid w:val="09DE2029"/>
    <w:rsid w:val="09E64735"/>
    <w:rsid w:val="09E65669"/>
    <w:rsid w:val="09F2400E"/>
    <w:rsid w:val="09FB6267"/>
    <w:rsid w:val="09FC06EE"/>
    <w:rsid w:val="09FF601E"/>
    <w:rsid w:val="0A0501E5"/>
    <w:rsid w:val="0A0F2B6E"/>
    <w:rsid w:val="0A187F18"/>
    <w:rsid w:val="0A1B17B6"/>
    <w:rsid w:val="0A1E7B92"/>
    <w:rsid w:val="0A2604A1"/>
    <w:rsid w:val="0A3D797F"/>
    <w:rsid w:val="0A481901"/>
    <w:rsid w:val="0A682522"/>
    <w:rsid w:val="0A68703A"/>
    <w:rsid w:val="0A687CCA"/>
    <w:rsid w:val="0A695D54"/>
    <w:rsid w:val="0A6C2250"/>
    <w:rsid w:val="0A73514E"/>
    <w:rsid w:val="0A775C8D"/>
    <w:rsid w:val="0A851326"/>
    <w:rsid w:val="0A8F3F52"/>
    <w:rsid w:val="0AA047FC"/>
    <w:rsid w:val="0AA329B0"/>
    <w:rsid w:val="0AAA7D00"/>
    <w:rsid w:val="0AB94B2B"/>
    <w:rsid w:val="0ACE49E2"/>
    <w:rsid w:val="0ACE5975"/>
    <w:rsid w:val="0AD14DBB"/>
    <w:rsid w:val="0AD3358C"/>
    <w:rsid w:val="0AE02304"/>
    <w:rsid w:val="0AE67C80"/>
    <w:rsid w:val="0AE918B4"/>
    <w:rsid w:val="0AE95411"/>
    <w:rsid w:val="0AEE2870"/>
    <w:rsid w:val="0AF53DB5"/>
    <w:rsid w:val="0AF85654"/>
    <w:rsid w:val="0AFB5144"/>
    <w:rsid w:val="0AFC15E8"/>
    <w:rsid w:val="0B0F4ED0"/>
    <w:rsid w:val="0B124B91"/>
    <w:rsid w:val="0B224DC6"/>
    <w:rsid w:val="0B245807"/>
    <w:rsid w:val="0B4275FD"/>
    <w:rsid w:val="0B60389D"/>
    <w:rsid w:val="0B6571D3"/>
    <w:rsid w:val="0B68096F"/>
    <w:rsid w:val="0B6A6FC8"/>
    <w:rsid w:val="0B745622"/>
    <w:rsid w:val="0B7D6235"/>
    <w:rsid w:val="0B8607BC"/>
    <w:rsid w:val="0B882E7B"/>
    <w:rsid w:val="0BA20B87"/>
    <w:rsid w:val="0BC67F78"/>
    <w:rsid w:val="0BCE4606"/>
    <w:rsid w:val="0BD25B76"/>
    <w:rsid w:val="0BDE0CED"/>
    <w:rsid w:val="0BDE2A9B"/>
    <w:rsid w:val="0BDF6813"/>
    <w:rsid w:val="0BE467D4"/>
    <w:rsid w:val="0C0004C2"/>
    <w:rsid w:val="0C057227"/>
    <w:rsid w:val="0C140339"/>
    <w:rsid w:val="0C346B5F"/>
    <w:rsid w:val="0C355AA8"/>
    <w:rsid w:val="0C375060"/>
    <w:rsid w:val="0C405504"/>
    <w:rsid w:val="0C6E7894"/>
    <w:rsid w:val="0C71390F"/>
    <w:rsid w:val="0C756362"/>
    <w:rsid w:val="0C796E9E"/>
    <w:rsid w:val="0C7C23AA"/>
    <w:rsid w:val="0C7E7348"/>
    <w:rsid w:val="0C801220"/>
    <w:rsid w:val="0C873D5D"/>
    <w:rsid w:val="0C8830E9"/>
    <w:rsid w:val="0C930BAE"/>
    <w:rsid w:val="0C9F6D19"/>
    <w:rsid w:val="0CA830A9"/>
    <w:rsid w:val="0CB67574"/>
    <w:rsid w:val="0CC267E6"/>
    <w:rsid w:val="0D1150F2"/>
    <w:rsid w:val="0D1C7D1F"/>
    <w:rsid w:val="0D1F590A"/>
    <w:rsid w:val="0D3342DC"/>
    <w:rsid w:val="0D3928BE"/>
    <w:rsid w:val="0D466B4A"/>
    <w:rsid w:val="0D4903E8"/>
    <w:rsid w:val="0D4A4AC2"/>
    <w:rsid w:val="0D51729D"/>
    <w:rsid w:val="0D5D4F39"/>
    <w:rsid w:val="0D605D6D"/>
    <w:rsid w:val="0D63594E"/>
    <w:rsid w:val="0D643474"/>
    <w:rsid w:val="0D6C2329"/>
    <w:rsid w:val="0D7C256C"/>
    <w:rsid w:val="0D8B180E"/>
    <w:rsid w:val="0D9A6E96"/>
    <w:rsid w:val="0DA72454"/>
    <w:rsid w:val="0DC064DE"/>
    <w:rsid w:val="0DD142B2"/>
    <w:rsid w:val="0DD26630"/>
    <w:rsid w:val="0DD759F4"/>
    <w:rsid w:val="0DDD6D83"/>
    <w:rsid w:val="0DFA16E3"/>
    <w:rsid w:val="0E012A71"/>
    <w:rsid w:val="0E3B16EB"/>
    <w:rsid w:val="0E480BC8"/>
    <w:rsid w:val="0E576B35"/>
    <w:rsid w:val="0E5C041E"/>
    <w:rsid w:val="0E69796D"/>
    <w:rsid w:val="0E73334B"/>
    <w:rsid w:val="0E7911EE"/>
    <w:rsid w:val="0E896B75"/>
    <w:rsid w:val="0E8A515C"/>
    <w:rsid w:val="0E951FE5"/>
    <w:rsid w:val="0EA0228A"/>
    <w:rsid w:val="0EA537AD"/>
    <w:rsid w:val="0EA55AF2"/>
    <w:rsid w:val="0EB65F51"/>
    <w:rsid w:val="0EBA17AC"/>
    <w:rsid w:val="0ECA37AB"/>
    <w:rsid w:val="0ECA4B48"/>
    <w:rsid w:val="0ECC7523"/>
    <w:rsid w:val="0ED21F60"/>
    <w:rsid w:val="0EDC703A"/>
    <w:rsid w:val="0EDE2DB2"/>
    <w:rsid w:val="0EEA1757"/>
    <w:rsid w:val="0EF56BA2"/>
    <w:rsid w:val="0F0A3BA7"/>
    <w:rsid w:val="0F111EEE"/>
    <w:rsid w:val="0F20466E"/>
    <w:rsid w:val="0F24110D"/>
    <w:rsid w:val="0F2C75EB"/>
    <w:rsid w:val="0F312AB7"/>
    <w:rsid w:val="0F39623B"/>
    <w:rsid w:val="0F5B755E"/>
    <w:rsid w:val="0F655282"/>
    <w:rsid w:val="0F684F69"/>
    <w:rsid w:val="0F7D081D"/>
    <w:rsid w:val="0F824086"/>
    <w:rsid w:val="0F84395A"/>
    <w:rsid w:val="0F8A6A96"/>
    <w:rsid w:val="0F8C6CB2"/>
    <w:rsid w:val="0FAE09D7"/>
    <w:rsid w:val="0FD333AD"/>
    <w:rsid w:val="0FDD306A"/>
    <w:rsid w:val="0FDF5DA0"/>
    <w:rsid w:val="0FE402FD"/>
    <w:rsid w:val="0FE64614"/>
    <w:rsid w:val="0FE935C2"/>
    <w:rsid w:val="0FF64060"/>
    <w:rsid w:val="0FFA1E6E"/>
    <w:rsid w:val="0FFC7994"/>
    <w:rsid w:val="0FFF1232"/>
    <w:rsid w:val="0FFF4F27"/>
    <w:rsid w:val="10030D22"/>
    <w:rsid w:val="10086339"/>
    <w:rsid w:val="10180C15"/>
    <w:rsid w:val="101A0FF9"/>
    <w:rsid w:val="101C1DE4"/>
    <w:rsid w:val="101F3682"/>
    <w:rsid w:val="1028542E"/>
    <w:rsid w:val="102F63B0"/>
    <w:rsid w:val="103233B6"/>
    <w:rsid w:val="104220FC"/>
    <w:rsid w:val="10431903"/>
    <w:rsid w:val="10516C6D"/>
    <w:rsid w:val="10533619"/>
    <w:rsid w:val="106418F5"/>
    <w:rsid w:val="106474BB"/>
    <w:rsid w:val="1071735E"/>
    <w:rsid w:val="10773D71"/>
    <w:rsid w:val="107E484D"/>
    <w:rsid w:val="10AA2913"/>
    <w:rsid w:val="10B169D0"/>
    <w:rsid w:val="10B22749"/>
    <w:rsid w:val="10B244F7"/>
    <w:rsid w:val="10C20BDE"/>
    <w:rsid w:val="10D80401"/>
    <w:rsid w:val="10DE3B20"/>
    <w:rsid w:val="10DF7692"/>
    <w:rsid w:val="10E072B6"/>
    <w:rsid w:val="10EF574B"/>
    <w:rsid w:val="10F60887"/>
    <w:rsid w:val="11031AF2"/>
    <w:rsid w:val="110C1E59"/>
    <w:rsid w:val="110D7FF0"/>
    <w:rsid w:val="111807FE"/>
    <w:rsid w:val="111A52F1"/>
    <w:rsid w:val="111E1B8C"/>
    <w:rsid w:val="11205904"/>
    <w:rsid w:val="11221FCB"/>
    <w:rsid w:val="112F4F5E"/>
    <w:rsid w:val="113104DE"/>
    <w:rsid w:val="113E3FDC"/>
    <w:rsid w:val="11447845"/>
    <w:rsid w:val="114C71BE"/>
    <w:rsid w:val="11511F61"/>
    <w:rsid w:val="11620816"/>
    <w:rsid w:val="1171577E"/>
    <w:rsid w:val="11843974"/>
    <w:rsid w:val="1187344D"/>
    <w:rsid w:val="119B4D4D"/>
    <w:rsid w:val="11AB78C4"/>
    <w:rsid w:val="11BE0516"/>
    <w:rsid w:val="11C12C43"/>
    <w:rsid w:val="11C224D4"/>
    <w:rsid w:val="11C95F9C"/>
    <w:rsid w:val="11CD67BD"/>
    <w:rsid w:val="11E4445B"/>
    <w:rsid w:val="11E608FC"/>
    <w:rsid w:val="11F272A1"/>
    <w:rsid w:val="11F8062F"/>
    <w:rsid w:val="12046FD4"/>
    <w:rsid w:val="120633E6"/>
    <w:rsid w:val="12072620"/>
    <w:rsid w:val="120E1C01"/>
    <w:rsid w:val="12107727"/>
    <w:rsid w:val="121A714F"/>
    <w:rsid w:val="123F4C78"/>
    <w:rsid w:val="124710FE"/>
    <w:rsid w:val="12485112"/>
    <w:rsid w:val="12555A81"/>
    <w:rsid w:val="125C13A6"/>
    <w:rsid w:val="12661A3D"/>
    <w:rsid w:val="12790D45"/>
    <w:rsid w:val="127A7296"/>
    <w:rsid w:val="12994089"/>
    <w:rsid w:val="129E4331"/>
    <w:rsid w:val="12A83E03"/>
    <w:rsid w:val="12AD766B"/>
    <w:rsid w:val="12BD2877"/>
    <w:rsid w:val="12C14EC5"/>
    <w:rsid w:val="12D90460"/>
    <w:rsid w:val="12EF3EDA"/>
    <w:rsid w:val="12FC5EFD"/>
    <w:rsid w:val="13037AFF"/>
    <w:rsid w:val="13080198"/>
    <w:rsid w:val="130B7EEE"/>
    <w:rsid w:val="131A1EB8"/>
    <w:rsid w:val="131C5581"/>
    <w:rsid w:val="131E2317"/>
    <w:rsid w:val="131E6CD1"/>
    <w:rsid w:val="13237F17"/>
    <w:rsid w:val="132C07B9"/>
    <w:rsid w:val="13390EFF"/>
    <w:rsid w:val="13511DA5"/>
    <w:rsid w:val="13561AB1"/>
    <w:rsid w:val="135B2C24"/>
    <w:rsid w:val="135D699C"/>
    <w:rsid w:val="1360023A"/>
    <w:rsid w:val="136E5EEF"/>
    <w:rsid w:val="137B212C"/>
    <w:rsid w:val="138045A5"/>
    <w:rsid w:val="13845D50"/>
    <w:rsid w:val="138A3509"/>
    <w:rsid w:val="138E124B"/>
    <w:rsid w:val="13932E57"/>
    <w:rsid w:val="139879D4"/>
    <w:rsid w:val="13B567D8"/>
    <w:rsid w:val="13D25245"/>
    <w:rsid w:val="13F25F1E"/>
    <w:rsid w:val="13F56BD4"/>
    <w:rsid w:val="13F82B68"/>
    <w:rsid w:val="13F84916"/>
    <w:rsid w:val="140A109B"/>
    <w:rsid w:val="14142AEA"/>
    <w:rsid w:val="141D4B0C"/>
    <w:rsid w:val="143771ED"/>
    <w:rsid w:val="143911CB"/>
    <w:rsid w:val="14424FAF"/>
    <w:rsid w:val="14425B91"/>
    <w:rsid w:val="14463CEB"/>
    <w:rsid w:val="144D4C62"/>
    <w:rsid w:val="145F3C91"/>
    <w:rsid w:val="14636F44"/>
    <w:rsid w:val="1469652F"/>
    <w:rsid w:val="14706BA3"/>
    <w:rsid w:val="14795A57"/>
    <w:rsid w:val="147D0B06"/>
    <w:rsid w:val="147E6E3B"/>
    <w:rsid w:val="14891A12"/>
    <w:rsid w:val="148F7029"/>
    <w:rsid w:val="14AF3ABC"/>
    <w:rsid w:val="14B416E5"/>
    <w:rsid w:val="14BC7869"/>
    <w:rsid w:val="14BD1DC5"/>
    <w:rsid w:val="14DE58BA"/>
    <w:rsid w:val="14E26D94"/>
    <w:rsid w:val="14E31122"/>
    <w:rsid w:val="14F47714"/>
    <w:rsid w:val="14FC21E4"/>
    <w:rsid w:val="152A4FA3"/>
    <w:rsid w:val="152B7943"/>
    <w:rsid w:val="15316332"/>
    <w:rsid w:val="15351D62"/>
    <w:rsid w:val="154455E6"/>
    <w:rsid w:val="15466355"/>
    <w:rsid w:val="154D2A40"/>
    <w:rsid w:val="155174FA"/>
    <w:rsid w:val="155602DB"/>
    <w:rsid w:val="15671D54"/>
    <w:rsid w:val="157924A9"/>
    <w:rsid w:val="157F0015"/>
    <w:rsid w:val="1599334B"/>
    <w:rsid w:val="15B72137"/>
    <w:rsid w:val="15C745A0"/>
    <w:rsid w:val="15CE43FE"/>
    <w:rsid w:val="15D777A5"/>
    <w:rsid w:val="15E7531B"/>
    <w:rsid w:val="15ED1FDD"/>
    <w:rsid w:val="15F221E6"/>
    <w:rsid w:val="15FD7FC2"/>
    <w:rsid w:val="16000332"/>
    <w:rsid w:val="16083DA7"/>
    <w:rsid w:val="160C6ECE"/>
    <w:rsid w:val="161651B5"/>
    <w:rsid w:val="161B6FCD"/>
    <w:rsid w:val="16227A29"/>
    <w:rsid w:val="16315EBE"/>
    <w:rsid w:val="163D2AB4"/>
    <w:rsid w:val="16610D1A"/>
    <w:rsid w:val="166E62D3"/>
    <w:rsid w:val="16731D38"/>
    <w:rsid w:val="167B2CE0"/>
    <w:rsid w:val="167F4E7B"/>
    <w:rsid w:val="168129A1"/>
    <w:rsid w:val="16866209"/>
    <w:rsid w:val="168A22DD"/>
    <w:rsid w:val="16922FCB"/>
    <w:rsid w:val="1699418F"/>
    <w:rsid w:val="16A50D85"/>
    <w:rsid w:val="16AD19E8"/>
    <w:rsid w:val="16B234A2"/>
    <w:rsid w:val="16B96A57"/>
    <w:rsid w:val="16CB00C0"/>
    <w:rsid w:val="16E64EFA"/>
    <w:rsid w:val="16E67F69"/>
    <w:rsid w:val="16EA2C3C"/>
    <w:rsid w:val="16EA49EA"/>
    <w:rsid w:val="16F5040B"/>
    <w:rsid w:val="1703785A"/>
    <w:rsid w:val="170434D7"/>
    <w:rsid w:val="17167ACC"/>
    <w:rsid w:val="17295C97"/>
    <w:rsid w:val="1734037F"/>
    <w:rsid w:val="1735378C"/>
    <w:rsid w:val="17487963"/>
    <w:rsid w:val="174A5143"/>
    <w:rsid w:val="174C3A8E"/>
    <w:rsid w:val="174E46EE"/>
    <w:rsid w:val="17514A69"/>
    <w:rsid w:val="176D2058"/>
    <w:rsid w:val="179761F4"/>
    <w:rsid w:val="179A1849"/>
    <w:rsid w:val="17B217D1"/>
    <w:rsid w:val="17B548FC"/>
    <w:rsid w:val="17B60D70"/>
    <w:rsid w:val="17B80644"/>
    <w:rsid w:val="17B9260F"/>
    <w:rsid w:val="17BE5353"/>
    <w:rsid w:val="17E70F2A"/>
    <w:rsid w:val="17FA434C"/>
    <w:rsid w:val="180C2DD2"/>
    <w:rsid w:val="180C6E5D"/>
    <w:rsid w:val="18251A52"/>
    <w:rsid w:val="182E0907"/>
    <w:rsid w:val="1832236F"/>
    <w:rsid w:val="184A3267"/>
    <w:rsid w:val="184B14B9"/>
    <w:rsid w:val="184C3483"/>
    <w:rsid w:val="184E0FA9"/>
    <w:rsid w:val="18544624"/>
    <w:rsid w:val="185A3DC1"/>
    <w:rsid w:val="186434A2"/>
    <w:rsid w:val="186802BC"/>
    <w:rsid w:val="18680E89"/>
    <w:rsid w:val="186B3909"/>
    <w:rsid w:val="186E164B"/>
    <w:rsid w:val="187A7FF0"/>
    <w:rsid w:val="187F4775"/>
    <w:rsid w:val="187F5606"/>
    <w:rsid w:val="18923305"/>
    <w:rsid w:val="189501D2"/>
    <w:rsid w:val="18AE37F5"/>
    <w:rsid w:val="18B2778A"/>
    <w:rsid w:val="18B43502"/>
    <w:rsid w:val="18D23988"/>
    <w:rsid w:val="18DE057F"/>
    <w:rsid w:val="18EF5A63"/>
    <w:rsid w:val="18F20B2D"/>
    <w:rsid w:val="191B6753"/>
    <w:rsid w:val="191D454D"/>
    <w:rsid w:val="19255BB9"/>
    <w:rsid w:val="193006AE"/>
    <w:rsid w:val="19394EDE"/>
    <w:rsid w:val="193D1546"/>
    <w:rsid w:val="19461C80"/>
    <w:rsid w:val="19461F1D"/>
    <w:rsid w:val="19510EDB"/>
    <w:rsid w:val="1954439D"/>
    <w:rsid w:val="195720DF"/>
    <w:rsid w:val="19630A84"/>
    <w:rsid w:val="19637223"/>
    <w:rsid w:val="1969544D"/>
    <w:rsid w:val="19731A21"/>
    <w:rsid w:val="197D7D98"/>
    <w:rsid w:val="198C1F40"/>
    <w:rsid w:val="198F7ACB"/>
    <w:rsid w:val="199D135E"/>
    <w:rsid w:val="19B4308D"/>
    <w:rsid w:val="19B577A7"/>
    <w:rsid w:val="19C06268"/>
    <w:rsid w:val="19E219A9"/>
    <w:rsid w:val="19E349A4"/>
    <w:rsid w:val="19E51499"/>
    <w:rsid w:val="19F34E52"/>
    <w:rsid w:val="19F57D72"/>
    <w:rsid w:val="19FB6838"/>
    <w:rsid w:val="1A073B05"/>
    <w:rsid w:val="1A0758B3"/>
    <w:rsid w:val="1A0861B3"/>
    <w:rsid w:val="1A1E49AB"/>
    <w:rsid w:val="1A204BC7"/>
    <w:rsid w:val="1A265F9B"/>
    <w:rsid w:val="1A294CEC"/>
    <w:rsid w:val="1A2B427B"/>
    <w:rsid w:val="1A3E3269"/>
    <w:rsid w:val="1A404921"/>
    <w:rsid w:val="1A5463ED"/>
    <w:rsid w:val="1A606D71"/>
    <w:rsid w:val="1A622AE9"/>
    <w:rsid w:val="1A646862"/>
    <w:rsid w:val="1A672A0D"/>
    <w:rsid w:val="1A687E40"/>
    <w:rsid w:val="1A742769"/>
    <w:rsid w:val="1A7E433C"/>
    <w:rsid w:val="1A8D034A"/>
    <w:rsid w:val="1A951111"/>
    <w:rsid w:val="1A9A6727"/>
    <w:rsid w:val="1A9B0BEB"/>
    <w:rsid w:val="1AB7360D"/>
    <w:rsid w:val="1AC51736"/>
    <w:rsid w:val="1AE1340A"/>
    <w:rsid w:val="1AEA675D"/>
    <w:rsid w:val="1AF91E57"/>
    <w:rsid w:val="1B0D62A9"/>
    <w:rsid w:val="1B0E2C71"/>
    <w:rsid w:val="1B283033"/>
    <w:rsid w:val="1B3B25E2"/>
    <w:rsid w:val="1B3F107D"/>
    <w:rsid w:val="1B544B28"/>
    <w:rsid w:val="1B666609"/>
    <w:rsid w:val="1B721452"/>
    <w:rsid w:val="1BA64C58"/>
    <w:rsid w:val="1BAF6202"/>
    <w:rsid w:val="1BB57C9A"/>
    <w:rsid w:val="1BBB0703"/>
    <w:rsid w:val="1BE51C24"/>
    <w:rsid w:val="1BE91714"/>
    <w:rsid w:val="1BF9747E"/>
    <w:rsid w:val="1BFC2ACA"/>
    <w:rsid w:val="1C0E2F29"/>
    <w:rsid w:val="1C0F6CA1"/>
    <w:rsid w:val="1C1806F6"/>
    <w:rsid w:val="1C25614E"/>
    <w:rsid w:val="1C3004E5"/>
    <w:rsid w:val="1C3B5CE8"/>
    <w:rsid w:val="1C5823F6"/>
    <w:rsid w:val="1C5841A4"/>
    <w:rsid w:val="1C651F93"/>
    <w:rsid w:val="1C6C2B3F"/>
    <w:rsid w:val="1C735482"/>
    <w:rsid w:val="1C8808D7"/>
    <w:rsid w:val="1C96496D"/>
    <w:rsid w:val="1C9D24FF"/>
    <w:rsid w:val="1CA556C4"/>
    <w:rsid w:val="1CB33AD0"/>
    <w:rsid w:val="1CBE3B31"/>
    <w:rsid w:val="1CCB2355"/>
    <w:rsid w:val="1CCE26B8"/>
    <w:rsid w:val="1CD008A6"/>
    <w:rsid w:val="1CD83537"/>
    <w:rsid w:val="1CDD0B4D"/>
    <w:rsid w:val="1CE3683B"/>
    <w:rsid w:val="1CE90FCA"/>
    <w:rsid w:val="1CE92F3A"/>
    <w:rsid w:val="1CEA6437"/>
    <w:rsid w:val="1CEE2EC7"/>
    <w:rsid w:val="1CF77E61"/>
    <w:rsid w:val="1CF87E33"/>
    <w:rsid w:val="1CFC7225"/>
    <w:rsid w:val="1D143445"/>
    <w:rsid w:val="1D383206"/>
    <w:rsid w:val="1D3C1D18"/>
    <w:rsid w:val="1D3D5587"/>
    <w:rsid w:val="1D3F35B6"/>
    <w:rsid w:val="1D505F15"/>
    <w:rsid w:val="1D740804"/>
    <w:rsid w:val="1D7D43B4"/>
    <w:rsid w:val="1D7E2B06"/>
    <w:rsid w:val="1D7E50DB"/>
    <w:rsid w:val="1D816E18"/>
    <w:rsid w:val="1D867CE0"/>
    <w:rsid w:val="1D943902"/>
    <w:rsid w:val="1D9456B0"/>
    <w:rsid w:val="1DB35D65"/>
    <w:rsid w:val="1DBD59E6"/>
    <w:rsid w:val="1DC80A28"/>
    <w:rsid w:val="1DCB4E4A"/>
    <w:rsid w:val="1DCE65F7"/>
    <w:rsid w:val="1DD962FB"/>
    <w:rsid w:val="1DDC0E05"/>
    <w:rsid w:val="1DE57CB9"/>
    <w:rsid w:val="1DF0665E"/>
    <w:rsid w:val="1DF20628"/>
    <w:rsid w:val="1DF41552"/>
    <w:rsid w:val="1DF76CB6"/>
    <w:rsid w:val="1DFE6FCD"/>
    <w:rsid w:val="1E1D0859"/>
    <w:rsid w:val="1E2347C0"/>
    <w:rsid w:val="1E2C3B3A"/>
    <w:rsid w:val="1E5C4CAD"/>
    <w:rsid w:val="1E605592"/>
    <w:rsid w:val="1E6C0104"/>
    <w:rsid w:val="1E700A87"/>
    <w:rsid w:val="1E7159F1"/>
    <w:rsid w:val="1E71779F"/>
    <w:rsid w:val="1E767F60"/>
    <w:rsid w:val="1E9A790E"/>
    <w:rsid w:val="1EA54868"/>
    <w:rsid w:val="1EA5569B"/>
    <w:rsid w:val="1EA638ED"/>
    <w:rsid w:val="1EAC4C7B"/>
    <w:rsid w:val="1ED241B0"/>
    <w:rsid w:val="1EDA3596"/>
    <w:rsid w:val="1EDB10BC"/>
    <w:rsid w:val="1EDF6DFF"/>
    <w:rsid w:val="1EE25AC2"/>
    <w:rsid w:val="1EE610FD"/>
    <w:rsid w:val="1EE65120"/>
    <w:rsid w:val="1EEC12AE"/>
    <w:rsid w:val="1EFC5F4A"/>
    <w:rsid w:val="1F0C74C8"/>
    <w:rsid w:val="1F176A48"/>
    <w:rsid w:val="1F1B39C5"/>
    <w:rsid w:val="1F1D16D5"/>
    <w:rsid w:val="1F3003F0"/>
    <w:rsid w:val="1F3E1D77"/>
    <w:rsid w:val="1F4D2425"/>
    <w:rsid w:val="1F6317DE"/>
    <w:rsid w:val="1F6747C1"/>
    <w:rsid w:val="1F7A08D5"/>
    <w:rsid w:val="1F7C464D"/>
    <w:rsid w:val="1F94071F"/>
    <w:rsid w:val="1FB40652"/>
    <w:rsid w:val="1FC23AE2"/>
    <w:rsid w:val="1FC65D00"/>
    <w:rsid w:val="1FEA7809"/>
    <w:rsid w:val="1FF22B46"/>
    <w:rsid w:val="1FFF3743"/>
    <w:rsid w:val="2002269C"/>
    <w:rsid w:val="200603BB"/>
    <w:rsid w:val="201007A7"/>
    <w:rsid w:val="20122B01"/>
    <w:rsid w:val="201900EE"/>
    <w:rsid w:val="2020332C"/>
    <w:rsid w:val="202F346E"/>
    <w:rsid w:val="2036264E"/>
    <w:rsid w:val="203B0065"/>
    <w:rsid w:val="203C3DDD"/>
    <w:rsid w:val="20441F46"/>
    <w:rsid w:val="204A6C1A"/>
    <w:rsid w:val="204B664A"/>
    <w:rsid w:val="205B1129"/>
    <w:rsid w:val="205E54B0"/>
    <w:rsid w:val="2073620B"/>
    <w:rsid w:val="20765541"/>
    <w:rsid w:val="20832045"/>
    <w:rsid w:val="209854B7"/>
    <w:rsid w:val="20AA09DE"/>
    <w:rsid w:val="20B41BC5"/>
    <w:rsid w:val="20B46606"/>
    <w:rsid w:val="20BE2A44"/>
    <w:rsid w:val="20C73087"/>
    <w:rsid w:val="20CE374C"/>
    <w:rsid w:val="20CE712B"/>
    <w:rsid w:val="20E266AB"/>
    <w:rsid w:val="20F546B7"/>
    <w:rsid w:val="20FD356C"/>
    <w:rsid w:val="210668C5"/>
    <w:rsid w:val="211721F4"/>
    <w:rsid w:val="21262AC3"/>
    <w:rsid w:val="212A5A00"/>
    <w:rsid w:val="212D20A3"/>
    <w:rsid w:val="2130749E"/>
    <w:rsid w:val="213351E0"/>
    <w:rsid w:val="21410299"/>
    <w:rsid w:val="21486EDD"/>
    <w:rsid w:val="21542C67"/>
    <w:rsid w:val="21574CF7"/>
    <w:rsid w:val="215A451A"/>
    <w:rsid w:val="215B5A99"/>
    <w:rsid w:val="216655B5"/>
    <w:rsid w:val="21667363"/>
    <w:rsid w:val="216755D4"/>
    <w:rsid w:val="217B0F40"/>
    <w:rsid w:val="21867A05"/>
    <w:rsid w:val="218E68BA"/>
    <w:rsid w:val="21904C3A"/>
    <w:rsid w:val="21A34113"/>
    <w:rsid w:val="21C1581E"/>
    <w:rsid w:val="21C44C50"/>
    <w:rsid w:val="21C562A3"/>
    <w:rsid w:val="21CB5418"/>
    <w:rsid w:val="21D4251F"/>
    <w:rsid w:val="21D56297"/>
    <w:rsid w:val="21DC5877"/>
    <w:rsid w:val="21F506E7"/>
    <w:rsid w:val="21F540A6"/>
    <w:rsid w:val="21F7445F"/>
    <w:rsid w:val="21FC1A76"/>
    <w:rsid w:val="2201585E"/>
    <w:rsid w:val="22032E04"/>
    <w:rsid w:val="220A23E4"/>
    <w:rsid w:val="220C32E1"/>
    <w:rsid w:val="22205764"/>
    <w:rsid w:val="22280ABD"/>
    <w:rsid w:val="222A65E3"/>
    <w:rsid w:val="222A6F66"/>
    <w:rsid w:val="222D1C2F"/>
    <w:rsid w:val="22345B5B"/>
    <w:rsid w:val="223C6316"/>
    <w:rsid w:val="22405E06"/>
    <w:rsid w:val="224A05AA"/>
    <w:rsid w:val="22531561"/>
    <w:rsid w:val="22564683"/>
    <w:rsid w:val="22625D7D"/>
    <w:rsid w:val="226B6E78"/>
    <w:rsid w:val="228E1F89"/>
    <w:rsid w:val="22B20386"/>
    <w:rsid w:val="22BB723B"/>
    <w:rsid w:val="22BE6D2B"/>
    <w:rsid w:val="22DE60F6"/>
    <w:rsid w:val="22E5075C"/>
    <w:rsid w:val="22E570DC"/>
    <w:rsid w:val="22F73A02"/>
    <w:rsid w:val="22F866E1"/>
    <w:rsid w:val="22FA4903"/>
    <w:rsid w:val="230E380E"/>
    <w:rsid w:val="230F62D3"/>
    <w:rsid w:val="231D1CA3"/>
    <w:rsid w:val="231F6004"/>
    <w:rsid w:val="23492A98"/>
    <w:rsid w:val="235C0A1E"/>
    <w:rsid w:val="235F4E4A"/>
    <w:rsid w:val="236B2C2C"/>
    <w:rsid w:val="23766CD0"/>
    <w:rsid w:val="2378337E"/>
    <w:rsid w:val="238A5D26"/>
    <w:rsid w:val="2390198C"/>
    <w:rsid w:val="23A91789"/>
    <w:rsid w:val="23F7340C"/>
    <w:rsid w:val="23FF077D"/>
    <w:rsid w:val="2404570F"/>
    <w:rsid w:val="24294678"/>
    <w:rsid w:val="243C25FD"/>
    <w:rsid w:val="244514B2"/>
    <w:rsid w:val="244A2F6C"/>
    <w:rsid w:val="244D0366"/>
    <w:rsid w:val="244D7080"/>
    <w:rsid w:val="24547947"/>
    <w:rsid w:val="245B6F27"/>
    <w:rsid w:val="246F4781"/>
    <w:rsid w:val="24711EDA"/>
    <w:rsid w:val="24853925"/>
    <w:rsid w:val="249250D1"/>
    <w:rsid w:val="24976F4B"/>
    <w:rsid w:val="24A36126"/>
    <w:rsid w:val="24AE25E4"/>
    <w:rsid w:val="24B258E3"/>
    <w:rsid w:val="24B75831"/>
    <w:rsid w:val="24B76D91"/>
    <w:rsid w:val="24BB1C98"/>
    <w:rsid w:val="24C34ACD"/>
    <w:rsid w:val="24C745BD"/>
    <w:rsid w:val="24E2171E"/>
    <w:rsid w:val="250273A3"/>
    <w:rsid w:val="251315B0"/>
    <w:rsid w:val="25137802"/>
    <w:rsid w:val="251B66B7"/>
    <w:rsid w:val="25290DD3"/>
    <w:rsid w:val="2536529E"/>
    <w:rsid w:val="25387660"/>
    <w:rsid w:val="25453733"/>
    <w:rsid w:val="25565941"/>
    <w:rsid w:val="255A0137"/>
    <w:rsid w:val="256805C6"/>
    <w:rsid w:val="25692F2B"/>
    <w:rsid w:val="256E4A38"/>
    <w:rsid w:val="25800BCC"/>
    <w:rsid w:val="25891872"/>
    <w:rsid w:val="258D59F7"/>
    <w:rsid w:val="25902C01"/>
    <w:rsid w:val="259163E1"/>
    <w:rsid w:val="25A6440A"/>
    <w:rsid w:val="25BD32CA"/>
    <w:rsid w:val="25C32136"/>
    <w:rsid w:val="25CE3729"/>
    <w:rsid w:val="25D80104"/>
    <w:rsid w:val="25DA1FF8"/>
    <w:rsid w:val="25ED1E01"/>
    <w:rsid w:val="25F128D7"/>
    <w:rsid w:val="25FB1F49"/>
    <w:rsid w:val="25FD4869"/>
    <w:rsid w:val="25FD563E"/>
    <w:rsid w:val="26086C3B"/>
    <w:rsid w:val="261455E0"/>
    <w:rsid w:val="261A16AD"/>
    <w:rsid w:val="261C5064"/>
    <w:rsid w:val="261C6242"/>
    <w:rsid w:val="262014A0"/>
    <w:rsid w:val="263C68E5"/>
    <w:rsid w:val="26463E50"/>
    <w:rsid w:val="264D28A0"/>
    <w:rsid w:val="26707BF5"/>
    <w:rsid w:val="26874699"/>
    <w:rsid w:val="268B33C8"/>
    <w:rsid w:val="268D5392"/>
    <w:rsid w:val="268F4C66"/>
    <w:rsid w:val="26950C42"/>
    <w:rsid w:val="26A214B2"/>
    <w:rsid w:val="26A56238"/>
    <w:rsid w:val="26C4140B"/>
    <w:rsid w:val="26C54B2C"/>
    <w:rsid w:val="26CE5E0A"/>
    <w:rsid w:val="26E34FB2"/>
    <w:rsid w:val="26E36D60"/>
    <w:rsid w:val="27003DB6"/>
    <w:rsid w:val="270A69E3"/>
    <w:rsid w:val="27124CBB"/>
    <w:rsid w:val="27154251"/>
    <w:rsid w:val="271F2FFA"/>
    <w:rsid w:val="27247AA4"/>
    <w:rsid w:val="272C4BAB"/>
    <w:rsid w:val="272F01F7"/>
    <w:rsid w:val="273E668C"/>
    <w:rsid w:val="27483067"/>
    <w:rsid w:val="275D2FB6"/>
    <w:rsid w:val="27725822"/>
    <w:rsid w:val="27752695"/>
    <w:rsid w:val="27802801"/>
    <w:rsid w:val="27815684"/>
    <w:rsid w:val="278E13C2"/>
    <w:rsid w:val="27A730C0"/>
    <w:rsid w:val="27AE0550"/>
    <w:rsid w:val="27B801ED"/>
    <w:rsid w:val="27B829E6"/>
    <w:rsid w:val="27CA188D"/>
    <w:rsid w:val="27CE31E8"/>
    <w:rsid w:val="27D35027"/>
    <w:rsid w:val="27D52B4D"/>
    <w:rsid w:val="27D8088F"/>
    <w:rsid w:val="27D86AE1"/>
    <w:rsid w:val="27DF1C1D"/>
    <w:rsid w:val="27E33DFE"/>
    <w:rsid w:val="27EF00EE"/>
    <w:rsid w:val="27F136FF"/>
    <w:rsid w:val="27FB756D"/>
    <w:rsid w:val="281C69CE"/>
    <w:rsid w:val="28221B70"/>
    <w:rsid w:val="28286CB1"/>
    <w:rsid w:val="28305FD5"/>
    <w:rsid w:val="28306A93"/>
    <w:rsid w:val="283341FE"/>
    <w:rsid w:val="28506677"/>
    <w:rsid w:val="28520641"/>
    <w:rsid w:val="285E6A03"/>
    <w:rsid w:val="2868614B"/>
    <w:rsid w:val="286A598B"/>
    <w:rsid w:val="28724B11"/>
    <w:rsid w:val="287405B8"/>
    <w:rsid w:val="2874680A"/>
    <w:rsid w:val="28822C54"/>
    <w:rsid w:val="28870F4E"/>
    <w:rsid w:val="288B164C"/>
    <w:rsid w:val="288B3B53"/>
    <w:rsid w:val="28902F18"/>
    <w:rsid w:val="2895052E"/>
    <w:rsid w:val="28961538"/>
    <w:rsid w:val="28A16ED3"/>
    <w:rsid w:val="28E11339"/>
    <w:rsid w:val="28E54EDC"/>
    <w:rsid w:val="28EA6ACC"/>
    <w:rsid w:val="2909647A"/>
    <w:rsid w:val="291122AA"/>
    <w:rsid w:val="2917694A"/>
    <w:rsid w:val="29187D76"/>
    <w:rsid w:val="2920778B"/>
    <w:rsid w:val="29231FDE"/>
    <w:rsid w:val="29323FCF"/>
    <w:rsid w:val="29363ABF"/>
    <w:rsid w:val="295A51BA"/>
    <w:rsid w:val="295D01CC"/>
    <w:rsid w:val="29743749"/>
    <w:rsid w:val="29745035"/>
    <w:rsid w:val="2980266F"/>
    <w:rsid w:val="2994507C"/>
    <w:rsid w:val="29A133E3"/>
    <w:rsid w:val="29AF73CD"/>
    <w:rsid w:val="29C53533"/>
    <w:rsid w:val="29CA4159"/>
    <w:rsid w:val="29D22ED3"/>
    <w:rsid w:val="29DF7CB3"/>
    <w:rsid w:val="29E96479"/>
    <w:rsid w:val="29EC23D0"/>
    <w:rsid w:val="29F86CF2"/>
    <w:rsid w:val="29FA0C70"/>
    <w:rsid w:val="2A151926"/>
    <w:rsid w:val="2A351736"/>
    <w:rsid w:val="2A4B5348"/>
    <w:rsid w:val="2A65449A"/>
    <w:rsid w:val="2A7F3244"/>
    <w:rsid w:val="2AA92A8B"/>
    <w:rsid w:val="2AAD6003"/>
    <w:rsid w:val="2AB71E58"/>
    <w:rsid w:val="2AD6555A"/>
    <w:rsid w:val="2AD91845"/>
    <w:rsid w:val="2AE50CE4"/>
    <w:rsid w:val="2AEF3F25"/>
    <w:rsid w:val="2AFC251F"/>
    <w:rsid w:val="2B083239"/>
    <w:rsid w:val="2B0B2D29"/>
    <w:rsid w:val="2B125E66"/>
    <w:rsid w:val="2B1F3681"/>
    <w:rsid w:val="2B241BE0"/>
    <w:rsid w:val="2B2F3E89"/>
    <w:rsid w:val="2B3C1135"/>
    <w:rsid w:val="2B405E67"/>
    <w:rsid w:val="2B4B466F"/>
    <w:rsid w:val="2B4E5774"/>
    <w:rsid w:val="2B58197D"/>
    <w:rsid w:val="2B591CE7"/>
    <w:rsid w:val="2B885423"/>
    <w:rsid w:val="2BA54F2C"/>
    <w:rsid w:val="2BA84DEF"/>
    <w:rsid w:val="2BB92785"/>
    <w:rsid w:val="2BC43604"/>
    <w:rsid w:val="2BD67F4C"/>
    <w:rsid w:val="2BDA40B0"/>
    <w:rsid w:val="2BDA6A14"/>
    <w:rsid w:val="2BDB6BA0"/>
    <w:rsid w:val="2BEE68D3"/>
    <w:rsid w:val="2BFC0FF0"/>
    <w:rsid w:val="2C0164F7"/>
    <w:rsid w:val="2C0A4D8F"/>
    <w:rsid w:val="2C163734"/>
    <w:rsid w:val="2C251D36"/>
    <w:rsid w:val="2C286B06"/>
    <w:rsid w:val="2C3342E6"/>
    <w:rsid w:val="2C3818FC"/>
    <w:rsid w:val="2C4402A1"/>
    <w:rsid w:val="2C4B7F4E"/>
    <w:rsid w:val="2C520C10"/>
    <w:rsid w:val="2C54250E"/>
    <w:rsid w:val="2C5801F0"/>
    <w:rsid w:val="2C5C5861"/>
    <w:rsid w:val="2C646582"/>
    <w:rsid w:val="2C6B1CD2"/>
    <w:rsid w:val="2C7F39CF"/>
    <w:rsid w:val="2C842D93"/>
    <w:rsid w:val="2C88126B"/>
    <w:rsid w:val="2C8F5C76"/>
    <w:rsid w:val="2CA13945"/>
    <w:rsid w:val="2CA55DA8"/>
    <w:rsid w:val="2CAC416A"/>
    <w:rsid w:val="2CAE3114"/>
    <w:rsid w:val="2CB37F14"/>
    <w:rsid w:val="2CB818F6"/>
    <w:rsid w:val="2CC8798B"/>
    <w:rsid w:val="2CCE2260"/>
    <w:rsid w:val="2CD02178"/>
    <w:rsid w:val="2CD51841"/>
    <w:rsid w:val="2CDF446E"/>
    <w:rsid w:val="2CEA02B1"/>
    <w:rsid w:val="2CF047C1"/>
    <w:rsid w:val="2CF06F76"/>
    <w:rsid w:val="2CF5572D"/>
    <w:rsid w:val="2D0D0FDB"/>
    <w:rsid w:val="2D144117"/>
    <w:rsid w:val="2D15517D"/>
    <w:rsid w:val="2D1759B5"/>
    <w:rsid w:val="2D2E4BB0"/>
    <w:rsid w:val="2D3227EF"/>
    <w:rsid w:val="2D360531"/>
    <w:rsid w:val="2D391DD0"/>
    <w:rsid w:val="2D3B7B03"/>
    <w:rsid w:val="2D480265"/>
    <w:rsid w:val="2D4D587B"/>
    <w:rsid w:val="2D5108D1"/>
    <w:rsid w:val="2D5E1764"/>
    <w:rsid w:val="2D713318"/>
    <w:rsid w:val="2D7C1CBC"/>
    <w:rsid w:val="2D811081"/>
    <w:rsid w:val="2D855015"/>
    <w:rsid w:val="2D8B688F"/>
    <w:rsid w:val="2D8C0AA2"/>
    <w:rsid w:val="2D9801C5"/>
    <w:rsid w:val="2DA03BFD"/>
    <w:rsid w:val="2DA07759"/>
    <w:rsid w:val="2DA2119A"/>
    <w:rsid w:val="2DA32FAF"/>
    <w:rsid w:val="2DA74F8B"/>
    <w:rsid w:val="2DAC07F4"/>
    <w:rsid w:val="2DB43204"/>
    <w:rsid w:val="2DB63420"/>
    <w:rsid w:val="2DB8284E"/>
    <w:rsid w:val="2DBE2DB6"/>
    <w:rsid w:val="2DC518B5"/>
    <w:rsid w:val="2DC86CB0"/>
    <w:rsid w:val="2DCA7FC8"/>
    <w:rsid w:val="2DCE2518"/>
    <w:rsid w:val="2DD07F5E"/>
    <w:rsid w:val="2DE17538"/>
    <w:rsid w:val="2DE34375"/>
    <w:rsid w:val="2DED4EE6"/>
    <w:rsid w:val="2E0217E0"/>
    <w:rsid w:val="2E16660C"/>
    <w:rsid w:val="2E1C695C"/>
    <w:rsid w:val="2E204D3E"/>
    <w:rsid w:val="2E255EB0"/>
    <w:rsid w:val="2E33681F"/>
    <w:rsid w:val="2E45411B"/>
    <w:rsid w:val="2E517F5E"/>
    <w:rsid w:val="2E5B5259"/>
    <w:rsid w:val="2E663BC1"/>
    <w:rsid w:val="2E735379"/>
    <w:rsid w:val="2E7E3AEC"/>
    <w:rsid w:val="2E826544"/>
    <w:rsid w:val="2E89643F"/>
    <w:rsid w:val="2EAE2349"/>
    <w:rsid w:val="2EB001C3"/>
    <w:rsid w:val="2EBA484A"/>
    <w:rsid w:val="2EBF2F28"/>
    <w:rsid w:val="2EC67693"/>
    <w:rsid w:val="2EC851B9"/>
    <w:rsid w:val="2ED26038"/>
    <w:rsid w:val="2ED40002"/>
    <w:rsid w:val="2ED4418A"/>
    <w:rsid w:val="2ED753FC"/>
    <w:rsid w:val="2EDB0345"/>
    <w:rsid w:val="2EE44E0D"/>
    <w:rsid w:val="2EF51D26"/>
    <w:rsid w:val="2F183816"/>
    <w:rsid w:val="2F1F29B5"/>
    <w:rsid w:val="2F237CD7"/>
    <w:rsid w:val="2F2443BA"/>
    <w:rsid w:val="2F2A4504"/>
    <w:rsid w:val="2F300FB0"/>
    <w:rsid w:val="2F34284F"/>
    <w:rsid w:val="2F3565C7"/>
    <w:rsid w:val="2F3A598B"/>
    <w:rsid w:val="2F3B1ABD"/>
    <w:rsid w:val="2F406DDF"/>
    <w:rsid w:val="2F432A92"/>
    <w:rsid w:val="2F436F36"/>
    <w:rsid w:val="2F5527C5"/>
    <w:rsid w:val="2F6A6270"/>
    <w:rsid w:val="2F833124"/>
    <w:rsid w:val="2F841511"/>
    <w:rsid w:val="2F882568"/>
    <w:rsid w:val="2F9368EB"/>
    <w:rsid w:val="2FA06136"/>
    <w:rsid w:val="2FAA48BF"/>
    <w:rsid w:val="2FB24CDF"/>
    <w:rsid w:val="2FB517F4"/>
    <w:rsid w:val="2FB971F8"/>
    <w:rsid w:val="2FC23C34"/>
    <w:rsid w:val="2FD933F6"/>
    <w:rsid w:val="2FDC4ABA"/>
    <w:rsid w:val="2FE34275"/>
    <w:rsid w:val="2FED0D32"/>
    <w:rsid w:val="2FEF7F00"/>
    <w:rsid w:val="300C557A"/>
    <w:rsid w:val="30113E76"/>
    <w:rsid w:val="30141411"/>
    <w:rsid w:val="301B7B69"/>
    <w:rsid w:val="303E14AB"/>
    <w:rsid w:val="304050A9"/>
    <w:rsid w:val="30406FD1"/>
    <w:rsid w:val="304A293B"/>
    <w:rsid w:val="304D1074"/>
    <w:rsid w:val="304F7886"/>
    <w:rsid w:val="305D4FC1"/>
    <w:rsid w:val="306233EC"/>
    <w:rsid w:val="306B24A8"/>
    <w:rsid w:val="30905BF0"/>
    <w:rsid w:val="309126E6"/>
    <w:rsid w:val="30A526B1"/>
    <w:rsid w:val="30A86AA6"/>
    <w:rsid w:val="30B154C4"/>
    <w:rsid w:val="30B55449"/>
    <w:rsid w:val="30BA6E07"/>
    <w:rsid w:val="30CB0F91"/>
    <w:rsid w:val="30CC1D15"/>
    <w:rsid w:val="30DA711C"/>
    <w:rsid w:val="30E8664A"/>
    <w:rsid w:val="30F860E0"/>
    <w:rsid w:val="310821E5"/>
    <w:rsid w:val="312406A1"/>
    <w:rsid w:val="312468F3"/>
    <w:rsid w:val="31327262"/>
    <w:rsid w:val="313639F4"/>
    <w:rsid w:val="31436676"/>
    <w:rsid w:val="31456F95"/>
    <w:rsid w:val="31591654"/>
    <w:rsid w:val="316D029A"/>
    <w:rsid w:val="316E7B6E"/>
    <w:rsid w:val="31833619"/>
    <w:rsid w:val="319F1B6B"/>
    <w:rsid w:val="31AA79E7"/>
    <w:rsid w:val="31C85368"/>
    <w:rsid w:val="31E3055C"/>
    <w:rsid w:val="31E6478A"/>
    <w:rsid w:val="31ED0CE4"/>
    <w:rsid w:val="31F42769"/>
    <w:rsid w:val="31FD161E"/>
    <w:rsid w:val="32001BF5"/>
    <w:rsid w:val="32284EA0"/>
    <w:rsid w:val="32340DB8"/>
    <w:rsid w:val="3235616A"/>
    <w:rsid w:val="323C6F95"/>
    <w:rsid w:val="323E1303"/>
    <w:rsid w:val="323E5D53"/>
    <w:rsid w:val="32737B32"/>
    <w:rsid w:val="32794A1C"/>
    <w:rsid w:val="327B225B"/>
    <w:rsid w:val="32821B23"/>
    <w:rsid w:val="328533C1"/>
    <w:rsid w:val="328F4513"/>
    <w:rsid w:val="32AF463E"/>
    <w:rsid w:val="32B20E8F"/>
    <w:rsid w:val="32BF0681"/>
    <w:rsid w:val="32BF1F0B"/>
    <w:rsid w:val="32C8715A"/>
    <w:rsid w:val="32CC7242"/>
    <w:rsid w:val="32D0288E"/>
    <w:rsid w:val="32D1573F"/>
    <w:rsid w:val="32F01BE1"/>
    <w:rsid w:val="32F3657D"/>
    <w:rsid w:val="32FF3174"/>
    <w:rsid w:val="3304078A"/>
    <w:rsid w:val="331C5EF0"/>
    <w:rsid w:val="332A19EA"/>
    <w:rsid w:val="333C7F24"/>
    <w:rsid w:val="334F4E0C"/>
    <w:rsid w:val="3350577D"/>
    <w:rsid w:val="33527747"/>
    <w:rsid w:val="335E34EB"/>
    <w:rsid w:val="33664FA1"/>
    <w:rsid w:val="33686F6B"/>
    <w:rsid w:val="336B25B7"/>
    <w:rsid w:val="33704071"/>
    <w:rsid w:val="337A55FF"/>
    <w:rsid w:val="33843679"/>
    <w:rsid w:val="33860733"/>
    <w:rsid w:val="338D077F"/>
    <w:rsid w:val="338F44F8"/>
    <w:rsid w:val="33950355"/>
    <w:rsid w:val="339733AC"/>
    <w:rsid w:val="33AB45DC"/>
    <w:rsid w:val="33B35566"/>
    <w:rsid w:val="33B421B0"/>
    <w:rsid w:val="33CB74FA"/>
    <w:rsid w:val="33E16D1D"/>
    <w:rsid w:val="33EA047C"/>
    <w:rsid w:val="33EA5BD2"/>
    <w:rsid w:val="3407106E"/>
    <w:rsid w:val="340842AA"/>
    <w:rsid w:val="340F05EB"/>
    <w:rsid w:val="34292CC4"/>
    <w:rsid w:val="342B5BC4"/>
    <w:rsid w:val="34384B8F"/>
    <w:rsid w:val="34711DFD"/>
    <w:rsid w:val="3478739D"/>
    <w:rsid w:val="347C5E07"/>
    <w:rsid w:val="347D25A2"/>
    <w:rsid w:val="348778C5"/>
    <w:rsid w:val="34B40E7B"/>
    <w:rsid w:val="34B87A7E"/>
    <w:rsid w:val="34BF35E1"/>
    <w:rsid w:val="34C10EE9"/>
    <w:rsid w:val="34C37E38"/>
    <w:rsid w:val="34C603ED"/>
    <w:rsid w:val="34C937B3"/>
    <w:rsid w:val="34DB551B"/>
    <w:rsid w:val="34E922AF"/>
    <w:rsid w:val="34F62354"/>
    <w:rsid w:val="34F62D5D"/>
    <w:rsid w:val="34FB5BBD"/>
    <w:rsid w:val="34FF745B"/>
    <w:rsid w:val="35024498"/>
    <w:rsid w:val="3519031D"/>
    <w:rsid w:val="353A4937"/>
    <w:rsid w:val="353D61D5"/>
    <w:rsid w:val="35611EC4"/>
    <w:rsid w:val="356432F3"/>
    <w:rsid w:val="356674DA"/>
    <w:rsid w:val="356F257B"/>
    <w:rsid w:val="3585424D"/>
    <w:rsid w:val="358D2B89"/>
    <w:rsid w:val="35A16764"/>
    <w:rsid w:val="35A52FD0"/>
    <w:rsid w:val="35A64D8D"/>
    <w:rsid w:val="35B06F0F"/>
    <w:rsid w:val="35B20971"/>
    <w:rsid w:val="35B50461"/>
    <w:rsid w:val="35C41EE5"/>
    <w:rsid w:val="35D56E48"/>
    <w:rsid w:val="35F07A79"/>
    <w:rsid w:val="35F66AB0"/>
    <w:rsid w:val="36016730"/>
    <w:rsid w:val="360D1FF2"/>
    <w:rsid w:val="362058DB"/>
    <w:rsid w:val="362737FF"/>
    <w:rsid w:val="364C66D0"/>
    <w:rsid w:val="364F201A"/>
    <w:rsid w:val="365644C2"/>
    <w:rsid w:val="366118FB"/>
    <w:rsid w:val="366652B8"/>
    <w:rsid w:val="368D0A96"/>
    <w:rsid w:val="36981915"/>
    <w:rsid w:val="36985DB9"/>
    <w:rsid w:val="36AC01E4"/>
    <w:rsid w:val="36AE41ED"/>
    <w:rsid w:val="36C84F27"/>
    <w:rsid w:val="36D27202"/>
    <w:rsid w:val="36D6068F"/>
    <w:rsid w:val="36D81E9B"/>
    <w:rsid w:val="36DB793C"/>
    <w:rsid w:val="36DE362E"/>
    <w:rsid w:val="36E13A87"/>
    <w:rsid w:val="36F54FB9"/>
    <w:rsid w:val="370C40B1"/>
    <w:rsid w:val="370E7B58"/>
    <w:rsid w:val="37212251"/>
    <w:rsid w:val="37225683"/>
    <w:rsid w:val="372907BF"/>
    <w:rsid w:val="372D3D16"/>
    <w:rsid w:val="373C4191"/>
    <w:rsid w:val="373C4996"/>
    <w:rsid w:val="37445F75"/>
    <w:rsid w:val="3765766F"/>
    <w:rsid w:val="376A3DBD"/>
    <w:rsid w:val="376A52B7"/>
    <w:rsid w:val="37705AF8"/>
    <w:rsid w:val="37761C72"/>
    <w:rsid w:val="3780733E"/>
    <w:rsid w:val="37824373"/>
    <w:rsid w:val="37832A6C"/>
    <w:rsid w:val="3783558D"/>
    <w:rsid w:val="378C4D7F"/>
    <w:rsid w:val="37920A5A"/>
    <w:rsid w:val="379E11AD"/>
    <w:rsid w:val="37AB5678"/>
    <w:rsid w:val="37B46585"/>
    <w:rsid w:val="37BC146D"/>
    <w:rsid w:val="37C262E9"/>
    <w:rsid w:val="37CF6515"/>
    <w:rsid w:val="37D50947"/>
    <w:rsid w:val="37DF3574"/>
    <w:rsid w:val="37EF01AA"/>
    <w:rsid w:val="37F063E3"/>
    <w:rsid w:val="38080EF9"/>
    <w:rsid w:val="380B25BB"/>
    <w:rsid w:val="380B4EB9"/>
    <w:rsid w:val="38156F95"/>
    <w:rsid w:val="381B759E"/>
    <w:rsid w:val="382F44FB"/>
    <w:rsid w:val="38390ED6"/>
    <w:rsid w:val="38451104"/>
    <w:rsid w:val="388518C8"/>
    <w:rsid w:val="388A6EE1"/>
    <w:rsid w:val="388B649F"/>
    <w:rsid w:val="389205E6"/>
    <w:rsid w:val="3894610C"/>
    <w:rsid w:val="389E3791"/>
    <w:rsid w:val="38A74091"/>
    <w:rsid w:val="38B22A36"/>
    <w:rsid w:val="38C42E95"/>
    <w:rsid w:val="38D25C01"/>
    <w:rsid w:val="38DB1010"/>
    <w:rsid w:val="38E250CA"/>
    <w:rsid w:val="38E726E0"/>
    <w:rsid w:val="38EA6674"/>
    <w:rsid w:val="38F434CE"/>
    <w:rsid w:val="38F66DC7"/>
    <w:rsid w:val="390239BE"/>
    <w:rsid w:val="39167469"/>
    <w:rsid w:val="391C32AC"/>
    <w:rsid w:val="391C5A88"/>
    <w:rsid w:val="39294FAA"/>
    <w:rsid w:val="392A6E00"/>
    <w:rsid w:val="392C0A3B"/>
    <w:rsid w:val="39392249"/>
    <w:rsid w:val="39396CB4"/>
    <w:rsid w:val="393D49F6"/>
    <w:rsid w:val="394A6F00"/>
    <w:rsid w:val="394C69E7"/>
    <w:rsid w:val="395D140D"/>
    <w:rsid w:val="396C50EA"/>
    <w:rsid w:val="39763C5E"/>
    <w:rsid w:val="39873EC3"/>
    <w:rsid w:val="39893797"/>
    <w:rsid w:val="398E34A3"/>
    <w:rsid w:val="39C958C2"/>
    <w:rsid w:val="39CB5055"/>
    <w:rsid w:val="39CD5D7A"/>
    <w:rsid w:val="39FB10F9"/>
    <w:rsid w:val="3A0E78F8"/>
    <w:rsid w:val="3A220ABD"/>
    <w:rsid w:val="3A2B484E"/>
    <w:rsid w:val="3A314864"/>
    <w:rsid w:val="3A40644A"/>
    <w:rsid w:val="3A443B62"/>
    <w:rsid w:val="3A445910"/>
    <w:rsid w:val="3A451DB4"/>
    <w:rsid w:val="3A453A49"/>
    <w:rsid w:val="3A4A1178"/>
    <w:rsid w:val="3A5A5495"/>
    <w:rsid w:val="3A683CF4"/>
    <w:rsid w:val="3A6E37BE"/>
    <w:rsid w:val="3A790053"/>
    <w:rsid w:val="3A7A48F7"/>
    <w:rsid w:val="3A7E5CA6"/>
    <w:rsid w:val="3A971C80"/>
    <w:rsid w:val="3A993F1C"/>
    <w:rsid w:val="3AA06FEA"/>
    <w:rsid w:val="3AA37B84"/>
    <w:rsid w:val="3AB46F3A"/>
    <w:rsid w:val="3AB76A7B"/>
    <w:rsid w:val="3ACF78CF"/>
    <w:rsid w:val="3AD76784"/>
    <w:rsid w:val="3AD969A0"/>
    <w:rsid w:val="3ADA4789"/>
    <w:rsid w:val="3AE623C4"/>
    <w:rsid w:val="3AFB0A37"/>
    <w:rsid w:val="3B003F2D"/>
    <w:rsid w:val="3B0357CB"/>
    <w:rsid w:val="3B181913"/>
    <w:rsid w:val="3B282898"/>
    <w:rsid w:val="3B323145"/>
    <w:rsid w:val="3B46360C"/>
    <w:rsid w:val="3B491AF1"/>
    <w:rsid w:val="3B563B4D"/>
    <w:rsid w:val="3B581673"/>
    <w:rsid w:val="3B5B1163"/>
    <w:rsid w:val="3B5E64E9"/>
    <w:rsid w:val="3B5F0C53"/>
    <w:rsid w:val="3B6B3A9C"/>
    <w:rsid w:val="3B6F4C0F"/>
    <w:rsid w:val="3B716BD9"/>
    <w:rsid w:val="3B8334A3"/>
    <w:rsid w:val="3B9A7EDD"/>
    <w:rsid w:val="3BB52F69"/>
    <w:rsid w:val="3BB66332"/>
    <w:rsid w:val="3BC33EBA"/>
    <w:rsid w:val="3BE4775D"/>
    <w:rsid w:val="3BE64ED1"/>
    <w:rsid w:val="3BEB7A10"/>
    <w:rsid w:val="3BEE7FB0"/>
    <w:rsid w:val="3BF05D4F"/>
    <w:rsid w:val="3BF35840"/>
    <w:rsid w:val="3C2123AD"/>
    <w:rsid w:val="3C265C15"/>
    <w:rsid w:val="3C400BA5"/>
    <w:rsid w:val="3C553E04"/>
    <w:rsid w:val="3C5A766D"/>
    <w:rsid w:val="3C5F2ED5"/>
    <w:rsid w:val="3C6B187A"/>
    <w:rsid w:val="3C7C5C4A"/>
    <w:rsid w:val="3CA8662A"/>
    <w:rsid w:val="3CB036B4"/>
    <w:rsid w:val="3CB44FCF"/>
    <w:rsid w:val="3CB54C97"/>
    <w:rsid w:val="3CCB05C4"/>
    <w:rsid w:val="3CE55188"/>
    <w:rsid w:val="3CED04E1"/>
    <w:rsid w:val="3CFE449C"/>
    <w:rsid w:val="3D045BA7"/>
    <w:rsid w:val="3D0870C9"/>
    <w:rsid w:val="3D0F48FB"/>
    <w:rsid w:val="3D136199"/>
    <w:rsid w:val="3D26725E"/>
    <w:rsid w:val="3D3660A8"/>
    <w:rsid w:val="3D3C1D06"/>
    <w:rsid w:val="3D567E34"/>
    <w:rsid w:val="3D597924"/>
    <w:rsid w:val="3D5F00FF"/>
    <w:rsid w:val="3D9D1F07"/>
    <w:rsid w:val="3D9E084F"/>
    <w:rsid w:val="3DA050E4"/>
    <w:rsid w:val="3DAB2E98"/>
    <w:rsid w:val="3DBE5819"/>
    <w:rsid w:val="3DC01751"/>
    <w:rsid w:val="3DD1399E"/>
    <w:rsid w:val="3DD82F3F"/>
    <w:rsid w:val="3DF8713D"/>
    <w:rsid w:val="3DFE3B7D"/>
    <w:rsid w:val="3E077566"/>
    <w:rsid w:val="3E083DC9"/>
    <w:rsid w:val="3E1349EF"/>
    <w:rsid w:val="3E157B99"/>
    <w:rsid w:val="3E167975"/>
    <w:rsid w:val="3E1D7646"/>
    <w:rsid w:val="3E1F291C"/>
    <w:rsid w:val="3E216694"/>
    <w:rsid w:val="3E2421A8"/>
    <w:rsid w:val="3E38578C"/>
    <w:rsid w:val="3E3D264C"/>
    <w:rsid w:val="3E4062F7"/>
    <w:rsid w:val="3E43485C"/>
    <w:rsid w:val="3E501EDE"/>
    <w:rsid w:val="3E640D24"/>
    <w:rsid w:val="3E693B97"/>
    <w:rsid w:val="3E762CD2"/>
    <w:rsid w:val="3E7B1DCE"/>
    <w:rsid w:val="3E8863DC"/>
    <w:rsid w:val="3E933797"/>
    <w:rsid w:val="3EAE63E2"/>
    <w:rsid w:val="3EB43064"/>
    <w:rsid w:val="3EBC460F"/>
    <w:rsid w:val="3EBF7C5B"/>
    <w:rsid w:val="3EC139D3"/>
    <w:rsid w:val="3EC3774B"/>
    <w:rsid w:val="3EDA6843"/>
    <w:rsid w:val="3EDC25BB"/>
    <w:rsid w:val="3EE55BC4"/>
    <w:rsid w:val="3EEB389F"/>
    <w:rsid w:val="3EF77E0B"/>
    <w:rsid w:val="3EFD65B4"/>
    <w:rsid w:val="3EFE2EED"/>
    <w:rsid w:val="3F080D3B"/>
    <w:rsid w:val="3F122481"/>
    <w:rsid w:val="3F1A39D7"/>
    <w:rsid w:val="3F1D51A4"/>
    <w:rsid w:val="3F340649"/>
    <w:rsid w:val="3F3643C1"/>
    <w:rsid w:val="3F4A13FB"/>
    <w:rsid w:val="3F4B1C8D"/>
    <w:rsid w:val="3F5B3E28"/>
    <w:rsid w:val="3F697D56"/>
    <w:rsid w:val="3F6E3B5B"/>
    <w:rsid w:val="3F6F2E68"/>
    <w:rsid w:val="3F780536"/>
    <w:rsid w:val="3F827606"/>
    <w:rsid w:val="3F9D125E"/>
    <w:rsid w:val="3FA330D9"/>
    <w:rsid w:val="3FA7706D"/>
    <w:rsid w:val="3FAF4384"/>
    <w:rsid w:val="3FC27A03"/>
    <w:rsid w:val="3FC419CD"/>
    <w:rsid w:val="3FC65FDD"/>
    <w:rsid w:val="3FC8073C"/>
    <w:rsid w:val="3FCA5C1C"/>
    <w:rsid w:val="3FCD7F83"/>
    <w:rsid w:val="3FDC1343"/>
    <w:rsid w:val="3FE35DBF"/>
    <w:rsid w:val="3FE43E1D"/>
    <w:rsid w:val="3FE553D4"/>
    <w:rsid w:val="3FEC076A"/>
    <w:rsid w:val="3FF54893"/>
    <w:rsid w:val="4005284F"/>
    <w:rsid w:val="401D1804"/>
    <w:rsid w:val="402661E4"/>
    <w:rsid w:val="403B5D58"/>
    <w:rsid w:val="40534AFF"/>
    <w:rsid w:val="405368AD"/>
    <w:rsid w:val="405745EF"/>
    <w:rsid w:val="405E2CDC"/>
    <w:rsid w:val="408014EB"/>
    <w:rsid w:val="40823EAE"/>
    <w:rsid w:val="409C0254"/>
    <w:rsid w:val="40B40BE4"/>
    <w:rsid w:val="40C15F0C"/>
    <w:rsid w:val="40C23AE7"/>
    <w:rsid w:val="40C81049"/>
    <w:rsid w:val="40C94324"/>
    <w:rsid w:val="40CF6F9D"/>
    <w:rsid w:val="40E73783"/>
    <w:rsid w:val="40E90FBF"/>
    <w:rsid w:val="40F260C6"/>
    <w:rsid w:val="40F938F8"/>
    <w:rsid w:val="4102318A"/>
    <w:rsid w:val="41046658"/>
    <w:rsid w:val="41067DC3"/>
    <w:rsid w:val="410A340F"/>
    <w:rsid w:val="410C0F0D"/>
    <w:rsid w:val="41165DCE"/>
    <w:rsid w:val="412F5BD2"/>
    <w:rsid w:val="41384420"/>
    <w:rsid w:val="413C2AA7"/>
    <w:rsid w:val="41433D6F"/>
    <w:rsid w:val="41474664"/>
    <w:rsid w:val="4152091B"/>
    <w:rsid w:val="41526B64"/>
    <w:rsid w:val="41636FC4"/>
    <w:rsid w:val="41654AEA"/>
    <w:rsid w:val="41790595"/>
    <w:rsid w:val="417C712D"/>
    <w:rsid w:val="41800872"/>
    <w:rsid w:val="418408ED"/>
    <w:rsid w:val="41953B2A"/>
    <w:rsid w:val="419E0C7E"/>
    <w:rsid w:val="41AE46E3"/>
    <w:rsid w:val="41B94E35"/>
    <w:rsid w:val="41BD2B78"/>
    <w:rsid w:val="41CE2E0E"/>
    <w:rsid w:val="41D03ED9"/>
    <w:rsid w:val="41D76023"/>
    <w:rsid w:val="41E94841"/>
    <w:rsid w:val="41EE2D31"/>
    <w:rsid w:val="41F30347"/>
    <w:rsid w:val="42010CB6"/>
    <w:rsid w:val="42044303"/>
    <w:rsid w:val="420E6F2F"/>
    <w:rsid w:val="42120303"/>
    <w:rsid w:val="422E5823"/>
    <w:rsid w:val="4238483B"/>
    <w:rsid w:val="423B2E33"/>
    <w:rsid w:val="42415557"/>
    <w:rsid w:val="42425A2A"/>
    <w:rsid w:val="4245422F"/>
    <w:rsid w:val="42591843"/>
    <w:rsid w:val="425A7062"/>
    <w:rsid w:val="42755DCE"/>
    <w:rsid w:val="42764AD5"/>
    <w:rsid w:val="427C3AA8"/>
    <w:rsid w:val="429233E9"/>
    <w:rsid w:val="42A548DC"/>
    <w:rsid w:val="42B76917"/>
    <w:rsid w:val="42C35F6C"/>
    <w:rsid w:val="42CE4911"/>
    <w:rsid w:val="42EF4FB3"/>
    <w:rsid w:val="430622FC"/>
    <w:rsid w:val="431E13F4"/>
    <w:rsid w:val="432C22FD"/>
    <w:rsid w:val="432E325E"/>
    <w:rsid w:val="43331387"/>
    <w:rsid w:val="433724B6"/>
    <w:rsid w:val="433A6F2A"/>
    <w:rsid w:val="43432C5B"/>
    <w:rsid w:val="434E294F"/>
    <w:rsid w:val="435E1BAE"/>
    <w:rsid w:val="43903A09"/>
    <w:rsid w:val="4399653F"/>
    <w:rsid w:val="43A73134"/>
    <w:rsid w:val="43AC2EA4"/>
    <w:rsid w:val="43B018E5"/>
    <w:rsid w:val="43B0785C"/>
    <w:rsid w:val="43BF2BD7"/>
    <w:rsid w:val="43C1439E"/>
    <w:rsid w:val="43CA74FA"/>
    <w:rsid w:val="43DC1563"/>
    <w:rsid w:val="43E048FB"/>
    <w:rsid w:val="43FC1967"/>
    <w:rsid w:val="440A7BCA"/>
    <w:rsid w:val="44110F59"/>
    <w:rsid w:val="44114AB5"/>
    <w:rsid w:val="441D16AC"/>
    <w:rsid w:val="44202F4A"/>
    <w:rsid w:val="44290050"/>
    <w:rsid w:val="443B7D84"/>
    <w:rsid w:val="443C4DED"/>
    <w:rsid w:val="443F2FD9"/>
    <w:rsid w:val="44550FE0"/>
    <w:rsid w:val="445552E9"/>
    <w:rsid w:val="445E58F6"/>
    <w:rsid w:val="446612A5"/>
    <w:rsid w:val="4488746D"/>
    <w:rsid w:val="448E25A9"/>
    <w:rsid w:val="448E2A61"/>
    <w:rsid w:val="44910F85"/>
    <w:rsid w:val="44987376"/>
    <w:rsid w:val="449F0313"/>
    <w:rsid w:val="44AC2A30"/>
    <w:rsid w:val="44B00772"/>
    <w:rsid w:val="44B32010"/>
    <w:rsid w:val="44B846ED"/>
    <w:rsid w:val="44BB4EE2"/>
    <w:rsid w:val="44BC2C73"/>
    <w:rsid w:val="44D81A76"/>
    <w:rsid w:val="44D97CC8"/>
    <w:rsid w:val="44F11804"/>
    <w:rsid w:val="44F62F8A"/>
    <w:rsid w:val="4504286C"/>
    <w:rsid w:val="450D34CE"/>
    <w:rsid w:val="45487D8A"/>
    <w:rsid w:val="454B049A"/>
    <w:rsid w:val="4550785F"/>
    <w:rsid w:val="455C6423"/>
    <w:rsid w:val="456B0FBF"/>
    <w:rsid w:val="456B6447"/>
    <w:rsid w:val="45701CAF"/>
    <w:rsid w:val="459862D5"/>
    <w:rsid w:val="45A04342"/>
    <w:rsid w:val="45A57BAB"/>
    <w:rsid w:val="45BC1016"/>
    <w:rsid w:val="45C02C36"/>
    <w:rsid w:val="45D81DE2"/>
    <w:rsid w:val="45E06741"/>
    <w:rsid w:val="45ED4677"/>
    <w:rsid w:val="460A2104"/>
    <w:rsid w:val="461B662E"/>
    <w:rsid w:val="461D3A65"/>
    <w:rsid w:val="461F1939"/>
    <w:rsid w:val="461F45F4"/>
    <w:rsid w:val="461F5BAF"/>
    <w:rsid w:val="462D194E"/>
    <w:rsid w:val="463A2364"/>
    <w:rsid w:val="46415F52"/>
    <w:rsid w:val="464C0026"/>
    <w:rsid w:val="46535859"/>
    <w:rsid w:val="465810C1"/>
    <w:rsid w:val="465B64BB"/>
    <w:rsid w:val="465F41FD"/>
    <w:rsid w:val="4662784A"/>
    <w:rsid w:val="466E4440"/>
    <w:rsid w:val="46731105"/>
    <w:rsid w:val="467D2F53"/>
    <w:rsid w:val="468970D8"/>
    <w:rsid w:val="468A0B4E"/>
    <w:rsid w:val="46A349C7"/>
    <w:rsid w:val="46B72656"/>
    <w:rsid w:val="46BC33FE"/>
    <w:rsid w:val="46C75939"/>
    <w:rsid w:val="46C87D48"/>
    <w:rsid w:val="46EE72CF"/>
    <w:rsid w:val="46F012F9"/>
    <w:rsid w:val="46FA3F26"/>
    <w:rsid w:val="46FC37FA"/>
    <w:rsid w:val="470D0F13"/>
    <w:rsid w:val="471B0FE7"/>
    <w:rsid w:val="471F398D"/>
    <w:rsid w:val="4729480B"/>
    <w:rsid w:val="472A3EC7"/>
    <w:rsid w:val="473A2575"/>
    <w:rsid w:val="473A4323"/>
    <w:rsid w:val="473C62ED"/>
    <w:rsid w:val="474B6530"/>
    <w:rsid w:val="47517F40"/>
    <w:rsid w:val="47694C08"/>
    <w:rsid w:val="47855EE6"/>
    <w:rsid w:val="47867568"/>
    <w:rsid w:val="47B02837"/>
    <w:rsid w:val="47B57E4D"/>
    <w:rsid w:val="47C84024"/>
    <w:rsid w:val="47C85DD2"/>
    <w:rsid w:val="47C97176"/>
    <w:rsid w:val="47E7324D"/>
    <w:rsid w:val="47ED75E7"/>
    <w:rsid w:val="48013C69"/>
    <w:rsid w:val="4801532A"/>
    <w:rsid w:val="48034136"/>
    <w:rsid w:val="48074B4D"/>
    <w:rsid w:val="480908C5"/>
    <w:rsid w:val="480A63EB"/>
    <w:rsid w:val="4812529F"/>
    <w:rsid w:val="481E631D"/>
    <w:rsid w:val="48537C64"/>
    <w:rsid w:val="488066AD"/>
    <w:rsid w:val="4882375B"/>
    <w:rsid w:val="48877A3B"/>
    <w:rsid w:val="488B752C"/>
    <w:rsid w:val="488C5052"/>
    <w:rsid w:val="488C65B8"/>
    <w:rsid w:val="48920FE7"/>
    <w:rsid w:val="48943F06"/>
    <w:rsid w:val="48A07715"/>
    <w:rsid w:val="48A44149"/>
    <w:rsid w:val="48A92948"/>
    <w:rsid w:val="48A93F5C"/>
    <w:rsid w:val="48B00D40"/>
    <w:rsid w:val="48B52FCC"/>
    <w:rsid w:val="48B60321"/>
    <w:rsid w:val="48B819A3"/>
    <w:rsid w:val="48BB1493"/>
    <w:rsid w:val="48BD1D7D"/>
    <w:rsid w:val="48C3755E"/>
    <w:rsid w:val="48CC1823"/>
    <w:rsid w:val="48D0332F"/>
    <w:rsid w:val="48F2497C"/>
    <w:rsid w:val="48F86243"/>
    <w:rsid w:val="48FB7D98"/>
    <w:rsid w:val="48FC2A79"/>
    <w:rsid w:val="48FE3902"/>
    <w:rsid w:val="491A360C"/>
    <w:rsid w:val="491B1D26"/>
    <w:rsid w:val="491D214E"/>
    <w:rsid w:val="49390C0F"/>
    <w:rsid w:val="4939352B"/>
    <w:rsid w:val="493D0939"/>
    <w:rsid w:val="4950607F"/>
    <w:rsid w:val="496F46C5"/>
    <w:rsid w:val="49747FC0"/>
    <w:rsid w:val="49794576"/>
    <w:rsid w:val="4984432E"/>
    <w:rsid w:val="499E328F"/>
    <w:rsid w:val="49A85EBB"/>
    <w:rsid w:val="49AE58C9"/>
    <w:rsid w:val="49C42657"/>
    <w:rsid w:val="49D071C0"/>
    <w:rsid w:val="49D92519"/>
    <w:rsid w:val="49F23981"/>
    <w:rsid w:val="4A01737A"/>
    <w:rsid w:val="4A054B02"/>
    <w:rsid w:val="4A0E3EA2"/>
    <w:rsid w:val="4A174B2C"/>
    <w:rsid w:val="4A183041"/>
    <w:rsid w:val="4A1B668D"/>
    <w:rsid w:val="4A286FFC"/>
    <w:rsid w:val="4A32242C"/>
    <w:rsid w:val="4A3E05CE"/>
    <w:rsid w:val="4A4D0C87"/>
    <w:rsid w:val="4A5A4EC8"/>
    <w:rsid w:val="4A5B4CDC"/>
    <w:rsid w:val="4A69682F"/>
    <w:rsid w:val="4A6A0536"/>
    <w:rsid w:val="4A6F4C2B"/>
    <w:rsid w:val="4A7162AD"/>
    <w:rsid w:val="4A7638C4"/>
    <w:rsid w:val="4A783AE0"/>
    <w:rsid w:val="4A7D10F6"/>
    <w:rsid w:val="4A9A1CA8"/>
    <w:rsid w:val="4A9B47C3"/>
    <w:rsid w:val="4AAD305D"/>
    <w:rsid w:val="4AC22FAD"/>
    <w:rsid w:val="4AD149B1"/>
    <w:rsid w:val="4AE90539"/>
    <w:rsid w:val="4B007631"/>
    <w:rsid w:val="4B15132F"/>
    <w:rsid w:val="4B1650A7"/>
    <w:rsid w:val="4B245A16"/>
    <w:rsid w:val="4B256E65"/>
    <w:rsid w:val="4B2772B4"/>
    <w:rsid w:val="4B2A56AD"/>
    <w:rsid w:val="4B2C0426"/>
    <w:rsid w:val="4B2E78F9"/>
    <w:rsid w:val="4B387CB0"/>
    <w:rsid w:val="4B507FA1"/>
    <w:rsid w:val="4B553E21"/>
    <w:rsid w:val="4B5F70FB"/>
    <w:rsid w:val="4B6C4CC7"/>
    <w:rsid w:val="4B724F3F"/>
    <w:rsid w:val="4B8244EA"/>
    <w:rsid w:val="4B8E0947"/>
    <w:rsid w:val="4B8F02D0"/>
    <w:rsid w:val="4B9761E7"/>
    <w:rsid w:val="4B9975E2"/>
    <w:rsid w:val="4BA06C91"/>
    <w:rsid w:val="4BA10E14"/>
    <w:rsid w:val="4BB24DCF"/>
    <w:rsid w:val="4BC82845"/>
    <w:rsid w:val="4BCE772F"/>
    <w:rsid w:val="4BD42F98"/>
    <w:rsid w:val="4BE55EEE"/>
    <w:rsid w:val="4BFD2BB9"/>
    <w:rsid w:val="4C03678D"/>
    <w:rsid w:val="4C15535E"/>
    <w:rsid w:val="4C1A52CD"/>
    <w:rsid w:val="4C2A3E39"/>
    <w:rsid w:val="4C3E6663"/>
    <w:rsid w:val="4C4B0D80"/>
    <w:rsid w:val="4C4B787D"/>
    <w:rsid w:val="4C5145E8"/>
    <w:rsid w:val="4C560D01"/>
    <w:rsid w:val="4C6065D9"/>
    <w:rsid w:val="4C681932"/>
    <w:rsid w:val="4C6C1422"/>
    <w:rsid w:val="4C72455F"/>
    <w:rsid w:val="4C804ECE"/>
    <w:rsid w:val="4C866699"/>
    <w:rsid w:val="4C967082"/>
    <w:rsid w:val="4C9952B8"/>
    <w:rsid w:val="4C9E35A6"/>
    <w:rsid w:val="4CA8481F"/>
    <w:rsid w:val="4CAA1F4A"/>
    <w:rsid w:val="4CAF57B3"/>
    <w:rsid w:val="4CB30DFF"/>
    <w:rsid w:val="4CBD1D79"/>
    <w:rsid w:val="4CBD3A2C"/>
    <w:rsid w:val="4CC41E4C"/>
    <w:rsid w:val="4CCE3E8B"/>
    <w:rsid w:val="4CCE5C39"/>
    <w:rsid w:val="4CD30E24"/>
    <w:rsid w:val="4CD6689C"/>
    <w:rsid w:val="4CEF795D"/>
    <w:rsid w:val="4CFE5DCC"/>
    <w:rsid w:val="4D023B34"/>
    <w:rsid w:val="4D1341C6"/>
    <w:rsid w:val="4D205169"/>
    <w:rsid w:val="4D297313"/>
    <w:rsid w:val="4D2E66D8"/>
    <w:rsid w:val="4D3637DE"/>
    <w:rsid w:val="4D4128AF"/>
    <w:rsid w:val="4D695962"/>
    <w:rsid w:val="4D7209E7"/>
    <w:rsid w:val="4D720CBA"/>
    <w:rsid w:val="4D8A1BA4"/>
    <w:rsid w:val="4D8F4F60"/>
    <w:rsid w:val="4D924EB8"/>
    <w:rsid w:val="4DAD1CF2"/>
    <w:rsid w:val="4DB03683"/>
    <w:rsid w:val="4DB96249"/>
    <w:rsid w:val="4DBC2D53"/>
    <w:rsid w:val="4DCA75CA"/>
    <w:rsid w:val="4DD74FC1"/>
    <w:rsid w:val="4DDC6134"/>
    <w:rsid w:val="4DE12B1C"/>
    <w:rsid w:val="4DE35714"/>
    <w:rsid w:val="4DE4323A"/>
    <w:rsid w:val="4DED6593"/>
    <w:rsid w:val="4E015B9A"/>
    <w:rsid w:val="4E017E91"/>
    <w:rsid w:val="4E0479C5"/>
    <w:rsid w:val="4E086F29"/>
    <w:rsid w:val="4E0B1523"/>
    <w:rsid w:val="4E296E9F"/>
    <w:rsid w:val="4E3201B2"/>
    <w:rsid w:val="4E3715BC"/>
    <w:rsid w:val="4E3F4BEF"/>
    <w:rsid w:val="4E3F6E49"/>
    <w:rsid w:val="4E451F2B"/>
    <w:rsid w:val="4E4E1B7C"/>
    <w:rsid w:val="4E4F2DA9"/>
    <w:rsid w:val="4E6F0D56"/>
    <w:rsid w:val="4E712E9D"/>
    <w:rsid w:val="4E740A62"/>
    <w:rsid w:val="4E775E5C"/>
    <w:rsid w:val="4E915170"/>
    <w:rsid w:val="4E9407BC"/>
    <w:rsid w:val="4EA01CF9"/>
    <w:rsid w:val="4EA03605"/>
    <w:rsid w:val="4EAE45C0"/>
    <w:rsid w:val="4EC05A55"/>
    <w:rsid w:val="4EC1723F"/>
    <w:rsid w:val="4ECB793E"/>
    <w:rsid w:val="4ED237C4"/>
    <w:rsid w:val="4EDC50E3"/>
    <w:rsid w:val="4EE259CC"/>
    <w:rsid w:val="4EE51018"/>
    <w:rsid w:val="4EF36ABA"/>
    <w:rsid w:val="4EF474AD"/>
    <w:rsid w:val="4EF50A76"/>
    <w:rsid w:val="4EF96DD3"/>
    <w:rsid w:val="4EFB083B"/>
    <w:rsid w:val="4F05790C"/>
    <w:rsid w:val="4F0B3174"/>
    <w:rsid w:val="4F29137D"/>
    <w:rsid w:val="4F2935FA"/>
    <w:rsid w:val="4F2C4E99"/>
    <w:rsid w:val="4F3124AF"/>
    <w:rsid w:val="4F443F90"/>
    <w:rsid w:val="4F506DD9"/>
    <w:rsid w:val="4F555702"/>
    <w:rsid w:val="4F5955AB"/>
    <w:rsid w:val="4F5A0499"/>
    <w:rsid w:val="4F7F29EB"/>
    <w:rsid w:val="4F7F4E05"/>
    <w:rsid w:val="4F853790"/>
    <w:rsid w:val="4F950C90"/>
    <w:rsid w:val="4F974A08"/>
    <w:rsid w:val="4FA161E3"/>
    <w:rsid w:val="4FAE7650"/>
    <w:rsid w:val="4FAF3256"/>
    <w:rsid w:val="4FB758F2"/>
    <w:rsid w:val="4FB853A1"/>
    <w:rsid w:val="4FBC446F"/>
    <w:rsid w:val="4FBE01E7"/>
    <w:rsid w:val="4FC937C1"/>
    <w:rsid w:val="4FCB6460"/>
    <w:rsid w:val="4FD317B8"/>
    <w:rsid w:val="4FD70497"/>
    <w:rsid w:val="4FE439C5"/>
    <w:rsid w:val="4FE5311A"/>
    <w:rsid w:val="4FEE380D"/>
    <w:rsid w:val="4FF05EC6"/>
    <w:rsid w:val="4FF57940"/>
    <w:rsid w:val="4FFB4014"/>
    <w:rsid w:val="4FFE4A87"/>
    <w:rsid w:val="500255D3"/>
    <w:rsid w:val="50131BB5"/>
    <w:rsid w:val="501C315F"/>
    <w:rsid w:val="501E5109"/>
    <w:rsid w:val="50250266"/>
    <w:rsid w:val="502D711A"/>
    <w:rsid w:val="50332613"/>
    <w:rsid w:val="503C735D"/>
    <w:rsid w:val="504306EC"/>
    <w:rsid w:val="50494C0B"/>
    <w:rsid w:val="504C2888"/>
    <w:rsid w:val="50AD025B"/>
    <w:rsid w:val="50B11AF9"/>
    <w:rsid w:val="50B1217B"/>
    <w:rsid w:val="50C25AB5"/>
    <w:rsid w:val="50C62458"/>
    <w:rsid w:val="50C86E43"/>
    <w:rsid w:val="50C91FC5"/>
    <w:rsid w:val="50D70E34"/>
    <w:rsid w:val="50DB6B76"/>
    <w:rsid w:val="50DC4E4F"/>
    <w:rsid w:val="50FD4D3F"/>
    <w:rsid w:val="510460CD"/>
    <w:rsid w:val="51071719"/>
    <w:rsid w:val="510A2FB8"/>
    <w:rsid w:val="510E1BA5"/>
    <w:rsid w:val="510F6820"/>
    <w:rsid w:val="51117398"/>
    <w:rsid w:val="51234079"/>
    <w:rsid w:val="51266A33"/>
    <w:rsid w:val="512A365A"/>
    <w:rsid w:val="513C37FC"/>
    <w:rsid w:val="514209A3"/>
    <w:rsid w:val="51441B43"/>
    <w:rsid w:val="5147420C"/>
    <w:rsid w:val="515F77F3"/>
    <w:rsid w:val="516721B8"/>
    <w:rsid w:val="51673B60"/>
    <w:rsid w:val="51850890"/>
    <w:rsid w:val="51947C73"/>
    <w:rsid w:val="519A1424"/>
    <w:rsid w:val="51C25640"/>
    <w:rsid w:val="51C2710C"/>
    <w:rsid w:val="51CA4ABA"/>
    <w:rsid w:val="51DF61F2"/>
    <w:rsid w:val="51F00477"/>
    <w:rsid w:val="51FF4AE6"/>
    <w:rsid w:val="5201085F"/>
    <w:rsid w:val="520B6FE7"/>
    <w:rsid w:val="52166E3A"/>
    <w:rsid w:val="52173544"/>
    <w:rsid w:val="522C6DA2"/>
    <w:rsid w:val="52326C6A"/>
    <w:rsid w:val="52350508"/>
    <w:rsid w:val="523D116B"/>
    <w:rsid w:val="525C548E"/>
    <w:rsid w:val="5277467D"/>
    <w:rsid w:val="527821A3"/>
    <w:rsid w:val="52884ADC"/>
    <w:rsid w:val="52A336C4"/>
    <w:rsid w:val="52A55F09"/>
    <w:rsid w:val="52A5743C"/>
    <w:rsid w:val="52B14033"/>
    <w:rsid w:val="52B96A43"/>
    <w:rsid w:val="52C378C2"/>
    <w:rsid w:val="52CC2C1B"/>
    <w:rsid w:val="52D10231"/>
    <w:rsid w:val="52E11A7E"/>
    <w:rsid w:val="530C1269"/>
    <w:rsid w:val="532866FC"/>
    <w:rsid w:val="53397B84"/>
    <w:rsid w:val="534055C7"/>
    <w:rsid w:val="53413128"/>
    <w:rsid w:val="53514ECE"/>
    <w:rsid w:val="53582700"/>
    <w:rsid w:val="535D7F7D"/>
    <w:rsid w:val="536270DB"/>
    <w:rsid w:val="536C1D08"/>
    <w:rsid w:val="536C61AC"/>
    <w:rsid w:val="536F3CDB"/>
    <w:rsid w:val="537F369D"/>
    <w:rsid w:val="5394437E"/>
    <w:rsid w:val="539E5689"/>
    <w:rsid w:val="53AA4422"/>
    <w:rsid w:val="53B900FE"/>
    <w:rsid w:val="53BF0089"/>
    <w:rsid w:val="53C33A31"/>
    <w:rsid w:val="53CA4C80"/>
    <w:rsid w:val="53CE4609"/>
    <w:rsid w:val="53D13330"/>
    <w:rsid w:val="53D37FD9"/>
    <w:rsid w:val="53DC50DF"/>
    <w:rsid w:val="53E04E54"/>
    <w:rsid w:val="53E37401"/>
    <w:rsid w:val="53F046E7"/>
    <w:rsid w:val="53FF2B7C"/>
    <w:rsid w:val="5402266C"/>
    <w:rsid w:val="54060074"/>
    <w:rsid w:val="540D34EB"/>
    <w:rsid w:val="5425237B"/>
    <w:rsid w:val="54270D01"/>
    <w:rsid w:val="542F6599"/>
    <w:rsid w:val="54322F51"/>
    <w:rsid w:val="543C16DA"/>
    <w:rsid w:val="543F741C"/>
    <w:rsid w:val="544861CD"/>
    <w:rsid w:val="544E58B1"/>
    <w:rsid w:val="545F186C"/>
    <w:rsid w:val="54614835"/>
    <w:rsid w:val="546868CA"/>
    <w:rsid w:val="546C2EF7"/>
    <w:rsid w:val="546D1636"/>
    <w:rsid w:val="547A0EBA"/>
    <w:rsid w:val="54A31759"/>
    <w:rsid w:val="54A92AE8"/>
    <w:rsid w:val="54A95C0B"/>
    <w:rsid w:val="54AD082A"/>
    <w:rsid w:val="54B32820"/>
    <w:rsid w:val="54C21D3D"/>
    <w:rsid w:val="54D77655"/>
    <w:rsid w:val="54DA405D"/>
    <w:rsid w:val="54ED46B7"/>
    <w:rsid w:val="54EF2BF0"/>
    <w:rsid w:val="54F12F9E"/>
    <w:rsid w:val="54F40B1A"/>
    <w:rsid w:val="54FB1595"/>
    <w:rsid w:val="550A6114"/>
    <w:rsid w:val="550A7A2A"/>
    <w:rsid w:val="5511602F"/>
    <w:rsid w:val="55252FF7"/>
    <w:rsid w:val="55287EB0"/>
    <w:rsid w:val="552F3C01"/>
    <w:rsid w:val="555020D9"/>
    <w:rsid w:val="555A000A"/>
    <w:rsid w:val="55722A84"/>
    <w:rsid w:val="55855303"/>
    <w:rsid w:val="559B68D4"/>
    <w:rsid w:val="55A03EEB"/>
    <w:rsid w:val="55B300C2"/>
    <w:rsid w:val="55B41744"/>
    <w:rsid w:val="55B55408"/>
    <w:rsid w:val="55B701B9"/>
    <w:rsid w:val="55CE1CA9"/>
    <w:rsid w:val="55E71B19"/>
    <w:rsid w:val="55E76CAF"/>
    <w:rsid w:val="55FB302C"/>
    <w:rsid w:val="5612451A"/>
    <w:rsid w:val="561F12B3"/>
    <w:rsid w:val="563A2710"/>
    <w:rsid w:val="56446F6C"/>
    <w:rsid w:val="564D4072"/>
    <w:rsid w:val="56521689"/>
    <w:rsid w:val="56523597"/>
    <w:rsid w:val="565F7902"/>
    <w:rsid w:val="566273F2"/>
    <w:rsid w:val="566C201F"/>
    <w:rsid w:val="56705FB3"/>
    <w:rsid w:val="568A4AA8"/>
    <w:rsid w:val="56952275"/>
    <w:rsid w:val="56A20F4C"/>
    <w:rsid w:val="56A71C21"/>
    <w:rsid w:val="56CA56C3"/>
    <w:rsid w:val="56CF2CD9"/>
    <w:rsid w:val="56DC53F6"/>
    <w:rsid w:val="56E32780"/>
    <w:rsid w:val="56F40992"/>
    <w:rsid w:val="56F664B8"/>
    <w:rsid w:val="5705494D"/>
    <w:rsid w:val="570652F5"/>
    <w:rsid w:val="571F7091"/>
    <w:rsid w:val="572A12AD"/>
    <w:rsid w:val="572D17AE"/>
    <w:rsid w:val="5735149A"/>
    <w:rsid w:val="573C40E7"/>
    <w:rsid w:val="57457BBE"/>
    <w:rsid w:val="57597595"/>
    <w:rsid w:val="57783371"/>
    <w:rsid w:val="57833AC4"/>
    <w:rsid w:val="57853398"/>
    <w:rsid w:val="57995095"/>
    <w:rsid w:val="579E445A"/>
    <w:rsid w:val="57A001D2"/>
    <w:rsid w:val="57B91294"/>
    <w:rsid w:val="57C540DC"/>
    <w:rsid w:val="57C92968"/>
    <w:rsid w:val="57DD31D4"/>
    <w:rsid w:val="58232F61"/>
    <w:rsid w:val="582535C8"/>
    <w:rsid w:val="582B03E3"/>
    <w:rsid w:val="584F6442"/>
    <w:rsid w:val="585B5A65"/>
    <w:rsid w:val="5889335C"/>
    <w:rsid w:val="588E2720"/>
    <w:rsid w:val="5897698C"/>
    <w:rsid w:val="58A61818"/>
    <w:rsid w:val="58BF5E0B"/>
    <w:rsid w:val="58D26AB1"/>
    <w:rsid w:val="58D562B1"/>
    <w:rsid w:val="58E00C2E"/>
    <w:rsid w:val="58E910E8"/>
    <w:rsid w:val="58F44C79"/>
    <w:rsid w:val="58F5454D"/>
    <w:rsid w:val="58FE0DF1"/>
    <w:rsid w:val="59013595"/>
    <w:rsid w:val="59095C40"/>
    <w:rsid w:val="59111B9C"/>
    <w:rsid w:val="594159E5"/>
    <w:rsid w:val="59605E6B"/>
    <w:rsid w:val="596213AF"/>
    <w:rsid w:val="596D0588"/>
    <w:rsid w:val="59875AED"/>
    <w:rsid w:val="598B699D"/>
    <w:rsid w:val="59A0270B"/>
    <w:rsid w:val="59A73A9A"/>
    <w:rsid w:val="59AC02BB"/>
    <w:rsid w:val="59AE7089"/>
    <w:rsid w:val="59C06909"/>
    <w:rsid w:val="59C95CF6"/>
    <w:rsid w:val="59DC3E85"/>
    <w:rsid w:val="59F0153D"/>
    <w:rsid w:val="59F502E5"/>
    <w:rsid w:val="5A0F57DD"/>
    <w:rsid w:val="5A1153B7"/>
    <w:rsid w:val="5A274A23"/>
    <w:rsid w:val="5A315A59"/>
    <w:rsid w:val="5A3C1C76"/>
    <w:rsid w:val="5A3F1F24"/>
    <w:rsid w:val="5A605343"/>
    <w:rsid w:val="5A6220B6"/>
    <w:rsid w:val="5A715379"/>
    <w:rsid w:val="5A7F0669"/>
    <w:rsid w:val="5A8042EB"/>
    <w:rsid w:val="5A865DA5"/>
    <w:rsid w:val="5A8750EF"/>
    <w:rsid w:val="5A875679"/>
    <w:rsid w:val="5A8A4029"/>
    <w:rsid w:val="5AA20705"/>
    <w:rsid w:val="5AAC38B2"/>
    <w:rsid w:val="5AB346C0"/>
    <w:rsid w:val="5AB50438"/>
    <w:rsid w:val="5AB83A84"/>
    <w:rsid w:val="5ACC06F0"/>
    <w:rsid w:val="5AD355CA"/>
    <w:rsid w:val="5ADC59C5"/>
    <w:rsid w:val="5AF63B00"/>
    <w:rsid w:val="5AF706A7"/>
    <w:rsid w:val="5B0311A3"/>
    <w:rsid w:val="5B052C90"/>
    <w:rsid w:val="5B0864EA"/>
    <w:rsid w:val="5B0A2301"/>
    <w:rsid w:val="5B13515F"/>
    <w:rsid w:val="5B1A64ED"/>
    <w:rsid w:val="5B2335F4"/>
    <w:rsid w:val="5B2B06FA"/>
    <w:rsid w:val="5B2D4472"/>
    <w:rsid w:val="5B3E042E"/>
    <w:rsid w:val="5B3E6680"/>
    <w:rsid w:val="5B5E63DA"/>
    <w:rsid w:val="5B647BE9"/>
    <w:rsid w:val="5B6A7475"/>
    <w:rsid w:val="5B8A71CF"/>
    <w:rsid w:val="5B8C73EB"/>
    <w:rsid w:val="5B9242D5"/>
    <w:rsid w:val="5B983D7F"/>
    <w:rsid w:val="5B991B08"/>
    <w:rsid w:val="5B9C016D"/>
    <w:rsid w:val="5BAA161F"/>
    <w:rsid w:val="5BC31F35"/>
    <w:rsid w:val="5BD81079"/>
    <w:rsid w:val="5BDC37A3"/>
    <w:rsid w:val="5BE17EDB"/>
    <w:rsid w:val="5BE64472"/>
    <w:rsid w:val="5BE71B3F"/>
    <w:rsid w:val="5BEA2363"/>
    <w:rsid w:val="5BEA70F3"/>
    <w:rsid w:val="5BF44F90"/>
    <w:rsid w:val="5BF46D3E"/>
    <w:rsid w:val="5BF8682E"/>
    <w:rsid w:val="5C10780F"/>
    <w:rsid w:val="5C166CB5"/>
    <w:rsid w:val="5C193211"/>
    <w:rsid w:val="5C1D1988"/>
    <w:rsid w:val="5C25339C"/>
    <w:rsid w:val="5C3E127C"/>
    <w:rsid w:val="5C423F4D"/>
    <w:rsid w:val="5C46444F"/>
    <w:rsid w:val="5C5B500F"/>
    <w:rsid w:val="5C60584B"/>
    <w:rsid w:val="5C61112F"/>
    <w:rsid w:val="5C64278E"/>
    <w:rsid w:val="5C642943"/>
    <w:rsid w:val="5C6A5252"/>
    <w:rsid w:val="5C7F0CFE"/>
    <w:rsid w:val="5CAA639E"/>
    <w:rsid w:val="5CAB061E"/>
    <w:rsid w:val="5CAB1EFA"/>
    <w:rsid w:val="5CAC2DD4"/>
    <w:rsid w:val="5CB339BC"/>
    <w:rsid w:val="5CB5471F"/>
    <w:rsid w:val="5CB54FEF"/>
    <w:rsid w:val="5CCB44AB"/>
    <w:rsid w:val="5CCD4603"/>
    <w:rsid w:val="5CD036BE"/>
    <w:rsid w:val="5CE40B61"/>
    <w:rsid w:val="5CF158BA"/>
    <w:rsid w:val="5D04357E"/>
    <w:rsid w:val="5D072AA1"/>
    <w:rsid w:val="5D170F36"/>
    <w:rsid w:val="5D1C479E"/>
    <w:rsid w:val="5D234A56"/>
    <w:rsid w:val="5D2C1EEF"/>
    <w:rsid w:val="5D302934"/>
    <w:rsid w:val="5D3715D8"/>
    <w:rsid w:val="5D375134"/>
    <w:rsid w:val="5D382C9A"/>
    <w:rsid w:val="5D566638"/>
    <w:rsid w:val="5D633322"/>
    <w:rsid w:val="5D662A4E"/>
    <w:rsid w:val="5D6D6DA8"/>
    <w:rsid w:val="5D7579F0"/>
    <w:rsid w:val="5D7A7717"/>
    <w:rsid w:val="5D7F0889"/>
    <w:rsid w:val="5D9E3405"/>
    <w:rsid w:val="5DA17670"/>
    <w:rsid w:val="5DB9023F"/>
    <w:rsid w:val="5DDE3802"/>
    <w:rsid w:val="5DE25F20"/>
    <w:rsid w:val="5DE74DAC"/>
    <w:rsid w:val="5DF11787"/>
    <w:rsid w:val="5E0B19B1"/>
    <w:rsid w:val="5E1B6804"/>
    <w:rsid w:val="5E1C0BB0"/>
    <w:rsid w:val="5E2751A9"/>
    <w:rsid w:val="5E2F1BA8"/>
    <w:rsid w:val="5E363B3B"/>
    <w:rsid w:val="5E37408E"/>
    <w:rsid w:val="5E3E4CD1"/>
    <w:rsid w:val="5E413D91"/>
    <w:rsid w:val="5E59732C"/>
    <w:rsid w:val="5E5D0BCB"/>
    <w:rsid w:val="5E602490"/>
    <w:rsid w:val="5E61775F"/>
    <w:rsid w:val="5E850121"/>
    <w:rsid w:val="5E9F0257"/>
    <w:rsid w:val="5EAA52DB"/>
    <w:rsid w:val="5EB05D31"/>
    <w:rsid w:val="5EB822A5"/>
    <w:rsid w:val="5ECE3876"/>
    <w:rsid w:val="5ED12060"/>
    <w:rsid w:val="5ED4401C"/>
    <w:rsid w:val="5EE118E2"/>
    <w:rsid w:val="5EF7101F"/>
    <w:rsid w:val="5EFA4F8E"/>
    <w:rsid w:val="5F021772"/>
    <w:rsid w:val="5F0E45BB"/>
    <w:rsid w:val="5F136B71"/>
    <w:rsid w:val="5F180F96"/>
    <w:rsid w:val="5F1A6ABC"/>
    <w:rsid w:val="5F217E4A"/>
    <w:rsid w:val="5F2B0CC9"/>
    <w:rsid w:val="5F3B6A32"/>
    <w:rsid w:val="5F3C5A50"/>
    <w:rsid w:val="5F681F1D"/>
    <w:rsid w:val="5F6B5F12"/>
    <w:rsid w:val="5F6D7533"/>
    <w:rsid w:val="5F864FE0"/>
    <w:rsid w:val="5F871372"/>
    <w:rsid w:val="5F906D7E"/>
    <w:rsid w:val="5FA25E8E"/>
    <w:rsid w:val="5FA36AB1"/>
    <w:rsid w:val="5FBA6C46"/>
    <w:rsid w:val="5FBC7B73"/>
    <w:rsid w:val="5FC66889"/>
    <w:rsid w:val="5FDC0215"/>
    <w:rsid w:val="5FDD440C"/>
    <w:rsid w:val="5FDE5D3B"/>
    <w:rsid w:val="5FEB2CC1"/>
    <w:rsid w:val="5FFE018B"/>
    <w:rsid w:val="5FFE462F"/>
    <w:rsid w:val="6000616F"/>
    <w:rsid w:val="600215CD"/>
    <w:rsid w:val="600225BA"/>
    <w:rsid w:val="6008725C"/>
    <w:rsid w:val="60116111"/>
    <w:rsid w:val="601839BF"/>
    <w:rsid w:val="60194FC5"/>
    <w:rsid w:val="602C2F4B"/>
    <w:rsid w:val="603069A0"/>
    <w:rsid w:val="60327E35"/>
    <w:rsid w:val="604F6C39"/>
    <w:rsid w:val="60690D46"/>
    <w:rsid w:val="606E3563"/>
    <w:rsid w:val="6071095D"/>
    <w:rsid w:val="607647DF"/>
    <w:rsid w:val="607E12CC"/>
    <w:rsid w:val="6082700E"/>
    <w:rsid w:val="60877B41"/>
    <w:rsid w:val="608F7035"/>
    <w:rsid w:val="609E1DB9"/>
    <w:rsid w:val="60A24FBB"/>
    <w:rsid w:val="60A56859"/>
    <w:rsid w:val="60BB42CE"/>
    <w:rsid w:val="60BE4E23"/>
    <w:rsid w:val="60D4713E"/>
    <w:rsid w:val="60D809DC"/>
    <w:rsid w:val="60E2185B"/>
    <w:rsid w:val="60EC092C"/>
    <w:rsid w:val="60F203B9"/>
    <w:rsid w:val="60F8107F"/>
    <w:rsid w:val="60FF41BB"/>
    <w:rsid w:val="61153290"/>
    <w:rsid w:val="611A7DDF"/>
    <w:rsid w:val="61236D3F"/>
    <w:rsid w:val="61265BEC"/>
    <w:rsid w:val="61291238"/>
    <w:rsid w:val="614358CF"/>
    <w:rsid w:val="61511552"/>
    <w:rsid w:val="615734FE"/>
    <w:rsid w:val="615D5386"/>
    <w:rsid w:val="61734BA9"/>
    <w:rsid w:val="61742C47"/>
    <w:rsid w:val="617F70AA"/>
    <w:rsid w:val="61812E22"/>
    <w:rsid w:val="61846F39"/>
    <w:rsid w:val="619864F8"/>
    <w:rsid w:val="61A1534E"/>
    <w:rsid w:val="61B266BB"/>
    <w:rsid w:val="61C044BC"/>
    <w:rsid w:val="61C13B66"/>
    <w:rsid w:val="61CE3B8D"/>
    <w:rsid w:val="61D75732"/>
    <w:rsid w:val="61F96E5C"/>
    <w:rsid w:val="61FA24F0"/>
    <w:rsid w:val="62067A5E"/>
    <w:rsid w:val="620E61C8"/>
    <w:rsid w:val="621B3C7D"/>
    <w:rsid w:val="621C2B4B"/>
    <w:rsid w:val="622E2E60"/>
    <w:rsid w:val="622E6349"/>
    <w:rsid w:val="626406AD"/>
    <w:rsid w:val="62654E3D"/>
    <w:rsid w:val="627610D2"/>
    <w:rsid w:val="627C183B"/>
    <w:rsid w:val="627D3D79"/>
    <w:rsid w:val="62926298"/>
    <w:rsid w:val="629B43B7"/>
    <w:rsid w:val="62A3326C"/>
    <w:rsid w:val="62A52B40"/>
    <w:rsid w:val="62B611F1"/>
    <w:rsid w:val="62B9483E"/>
    <w:rsid w:val="62CA0F14"/>
    <w:rsid w:val="62CA25A7"/>
    <w:rsid w:val="62DB47B4"/>
    <w:rsid w:val="62E713AB"/>
    <w:rsid w:val="63136DCF"/>
    <w:rsid w:val="633B5253"/>
    <w:rsid w:val="633C3242"/>
    <w:rsid w:val="63424833"/>
    <w:rsid w:val="6347009B"/>
    <w:rsid w:val="635C3B47"/>
    <w:rsid w:val="636B2B77"/>
    <w:rsid w:val="636B5B38"/>
    <w:rsid w:val="637075F2"/>
    <w:rsid w:val="63770981"/>
    <w:rsid w:val="63817C27"/>
    <w:rsid w:val="638B442C"/>
    <w:rsid w:val="6391034D"/>
    <w:rsid w:val="6397692D"/>
    <w:rsid w:val="63997DBC"/>
    <w:rsid w:val="639B46F8"/>
    <w:rsid w:val="63AB43E3"/>
    <w:rsid w:val="63B22BB5"/>
    <w:rsid w:val="63B75C97"/>
    <w:rsid w:val="63C25535"/>
    <w:rsid w:val="63CB2A7A"/>
    <w:rsid w:val="63D00091"/>
    <w:rsid w:val="63D60E71"/>
    <w:rsid w:val="63E1229E"/>
    <w:rsid w:val="63E43B3C"/>
    <w:rsid w:val="63E94CAF"/>
    <w:rsid w:val="63FC0E86"/>
    <w:rsid w:val="63FC2C34"/>
    <w:rsid w:val="64117F0E"/>
    <w:rsid w:val="642A1C97"/>
    <w:rsid w:val="642A2302"/>
    <w:rsid w:val="64355695"/>
    <w:rsid w:val="643A310F"/>
    <w:rsid w:val="643B37CC"/>
    <w:rsid w:val="643E0B5B"/>
    <w:rsid w:val="64431EAE"/>
    <w:rsid w:val="644B67C8"/>
    <w:rsid w:val="644C3BBB"/>
    <w:rsid w:val="644E5AB2"/>
    <w:rsid w:val="645268DD"/>
    <w:rsid w:val="64683DEB"/>
    <w:rsid w:val="64722EF6"/>
    <w:rsid w:val="64727521"/>
    <w:rsid w:val="64800940"/>
    <w:rsid w:val="64803865"/>
    <w:rsid w:val="64873D5C"/>
    <w:rsid w:val="64925346"/>
    <w:rsid w:val="64A03DD8"/>
    <w:rsid w:val="64A2084C"/>
    <w:rsid w:val="64A37553"/>
    <w:rsid w:val="64AF5EF8"/>
    <w:rsid w:val="64BA1360"/>
    <w:rsid w:val="64CC6AAA"/>
    <w:rsid w:val="64D23995"/>
    <w:rsid w:val="64D93CB0"/>
    <w:rsid w:val="64E2007C"/>
    <w:rsid w:val="64F47684"/>
    <w:rsid w:val="65000502"/>
    <w:rsid w:val="6500296B"/>
    <w:rsid w:val="6502427A"/>
    <w:rsid w:val="650D632D"/>
    <w:rsid w:val="65165F77"/>
    <w:rsid w:val="65206DF6"/>
    <w:rsid w:val="65271F32"/>
    <w:rsid w:val="654523B9"/>
    <w:rsid w:val="65496BE1"/>
    <w:rsid w:val="654B3E73"/>
    <w:rsid w:val="65520088"/>
    <w:rsid w:val="65586590"/>
    <w:rsid w:val="655C4344"/>
    <w:rsid w:val="6569254B"/>
    <w:rsid w:val="657038D9"/>
    <w:rsid w:val="65764C68"/>
    <w:rsid w:val="657D3E03"/>
    <w:rsid w:val="657F3C3F"/>
    <w:rsid w:val="65960E66"/>
    <w:rsid w:val="65B0017A"/>
    <w:rsid w:val="65B512EC"/>
    <w:rsid w:val="65BA2441"/>
    <w:rsid w:val="65BA4B55"/>
    <w:rsid w:val="65C23A02"/>
    <w:rsid w:val="65C37EAD"/>
    <w:rsid w:val="65CB6D62"/>
    <w:rsid w:val="65EB2F60"/>
    <w:rsid w:val="65F953FE"/>
    <w:rsid w:val="660404C6"/>
    <w:rsid w:val="660978B5"/>
    <w:rsid w:val="66157FDD"/>
    <w:rsid w:val="661C18F7"/>
    <w:rsid w:val="66310E0B"/>
    <w:rsid w:val="66416AE8"/>
    <w:rsid w:val="66563472"/>
    <w:rsid w:val="666757F8"/>
    <w:rsid w:val="666D7E19"/>
    <w:rsid w:val="66742F55"/>
    <w:rsid w:val="667E2CF0"/>
    <w:rsid w:val="668138C4"/>
    <w:rsid w:val="668533B4"/>
    <w:rsid w:val="66881412"/>
    <w:rsid w:val="668F5FE1"/>
    <w:rsid w:val="669216A7"/>
    <w:rsid w:val="66967300"/>
    <w:rsid w:val="669B6734"/>
    <w:rsid w:val="66AA3E11"/>
    <w:rsid w:val="66AB26EF"/>
    <w:rsid w:val="66CC2B5A"/>
    <w:rsid w:val="66CD08B8"/>
    <w:rsid w:val="66D50CAE"/>
    <w:rsid w:val="66DA3FFA"/>
    <w:rsid w:val="66E8749F"/>
    <w:rsid w:val="67002A3B"/>
    <w:rsid w:val="670A6CEB"/>
    <w:rsid w:val="67145898"/>
    <w:rsid w:val="6718083B"/>
    <w:rsid w:val="671F2CA2"/>
    <w:rsid w:val="672101E2"/>
    <w:rsid w:val="67220C03"/>
    <w:rsid w:val="67332B22"/>
    <w:rsid w:val="67397CFB"/>
    <w:rsid w:val="673B1CC5"/>
    <w:rsid w:val="6741564F"/>
    <w:rsid w:val="67430B7A"/>
    <w:rsid w:val="67492634"/>
    <w:rsid w:val="67541342"/>
    <w:rsid w:val="67584625"/>
    <w:rsid w:val="677B477D"/>
    <w:rsid w:val="677D22DE"/>
    <w:rsid w:val="67854EF7"/>
    <w:rsid w:val="67892A30"/>
    <w:rsid w:val="679A0DC2"/>
    <w:rsid w:val="679B09B6"/>
    <w:rsid w:val="67A140B9"/>
    <w:rsid w:val="67A242D5"/>
    <w:rsid w:val="67A55390"/>
    <w:rsid w:val="67AB0C1A"/>
    <w:rsid w:val="67B332B3"/>
    <w:rsid w:val="67BF6452"/>
    <w:rsid w:val="67D808FF"/>
    <w:rsid w:val="67DF6798"/>
    <w:rsid w:val="67E76840"/>
    <w:rsid w:val="67F46667"/>
    <w:rsid w:val="67FB59E2"/>
    <w:rsid w:val="680A459D"/>
    <w:rsid w:val="68177FFE"/>
    <w:rsid w:val="68273FF7"/>
    <w:rsid w:val="682F2399"/>
    <w:rsid w:val="6832131A"/>
    <w:rsid w:val="683A6E48"/>
    <w:rsid w:val="683E7CBF"/>
    <w:rsid w:val="685968A7"/>
    <w:rsid w:val="685F3791"/>
    <w:rsid w:val="686A409C"/>
    <w:rsid w:val="686F6B51"/>
    <w:rsid w:val="687A05CB"/>
    <w:rsid w:val="687D72E3"/>
    <w:rsid w:val="687E630D"/>
    <w:rsid w:val="68833924"/>
    <w:rsid w:val="68AB69D7"/>
    <w:rsid w:val="68B43ADD"/>
    <w:rsid w:val="68BF08FC"/>
    <w:rsid w:val="68C25301"/>
    <w:rsid w:val="68D6373E"/>
    <w:rsid w:val="68E42868"/>
    <w:rsid w:val="68E853B1"/>
    <w:rsid w:val="68F91E38"/>
    <w:rsid w:val="69076FCD"/>
    <w:rsid w:val="691251C6"/>
    <w:rsid w:val="69151074"/>
    <w:rsid w:val="69166F99"/>
    <w:rsid w:val="691C1682"/>
    <w:rsid w:val="69362744"/>
    <w:rsid w:val="693E784B"/>
    <w:rsid w:val="69441F11"/>
    <w:rsid w:val="6949691B"/>
    <w:rsid w:val="694D5CE0"/>
    <w:rsid w:val="69513A22"/>
    <w:rsid w:val="69596D17"/>
    <w:rsid w:val="698536CB"/>
    <w:rsid w:val="69886D18"/>
    <w:rsid w:val="699021C4"/>
    <w:rsid w:val="699A3401"/>
    <w:rsid w:val="69A905A9"/>
    <w:rsid w:val="69AE677E"/>
    <w:rsid w:val="69C2047C"/>
    <w:rsid w:val="69CD0A61"/>
    <w:rsid w:val="69CF435F"/>
    <w:rsid w:val="69D72179"/>
    <w:rsid w:val="69DE36F5"/>
    <w:rsid w:val="69E20B1E"/>
    <w:rsid w:val="69F61ED3"/>
    <w:rsid w:val="6A002D52"/>
    <w:rsid w:val="6A1605F7"/>
    <w:rsid w:val="6A1862EE"/>
    <w:rsid w:val="6A1A691F"/>
    <w:rsid w:val="6A214E2F"/>
    <w:rsid w:val="6A31115D"/>
    <w:rsid w:val="6A33268F"/>
    <w:rsid w:val="6A364C47"/>
    <w:rsid w:val="6A4315BC"/>
    <w:rsid w:val="6A554E4C"/>
    <w:rsid w:val="6A570BC4"/>
    <w:rsid w:val="6A615CF3"/>
    <w:rsid w:val="6A7E2C0A"/>
    <w:rsid w:val="6A86453E"/>
    <w:rsid w:val="6A8E5399"/>
    <w:rsid w:val="6A9811DC"/>
    <w:rsid w:val="6AA04C71"/>
    <w:rsid w:val="6AA06FB7"/>
    <w:rsid w:val="6AAF35EE"/>
    <w:rsid w:val="6AB029CA"/>
    <w:rsid w:val="6ABC72FB"/>
    <w:rsid w:val="6AC41FD2"/>
    <w:rsid w:val="6AD82A97"/>
    <w:rsid w:val="6ADE1DC4"/>
    <w:rsid w:val="6AE461D0"/>
    <w:rsid w:val="6AE50052"/>
    <w:rsid w:val="6AEA1F68"/>
    <w:rsid w:val="6AEB57B0"/>
    <w:rsid w:val="6AED777A"/>
    <w:rsid w:val="6B0309EE"/>
    <w:rsid w:val="6B0773BB"/>
    <w:rsid w:val="6B0F0100"/>
    <w:rsid w:val="6B120F8F"/>
    <w:rsid w:val="6B141D4A"/>
    <w:rsid w:val="6B170486"/>
    <w:rsid w:val="6B2036AC"/>
    <w:rsid w:val="6B21238A"/>
    <w:rsid w:val="6B216E94"/>
    <w:rsid w:val="6B301415"/>
    <w:rsid w:val="6B353818"/>
    <w:rsid w:val="6B366EA6"/>
    <w:rsid w:val="6B3D5783"/>
    <w:rsid w:val="6B4849B1"/>
    <w:rsid w:val="6B4D0219"/>
    <w:rsid w:val="6B540E94"/>
    <w:rsid w:val="6B637A3C"/>
    <w:rsid w:val="6B657311"/>
    <w:rsid w:val="6B7C465A"/>
    <w:rsid w:val="6B923E7E"/>
    <w:rsid w:val="6B924DC4"/>
    <w:rsid w:val="6B93063C"/>
    <w:rsid w:val="6BBF2EC5"/>
    <w:rsid w:val="6BC70BA4"/>
    <w:rsid w:val="6BCF0C2E"/>
    <w:rsid w:val="6BD70390"/>
    <w:rsid w:val="6BFF59B7"/>
    <w:rsid w:val="6C092392"/>
    <w:rsid w:val="6C153260"/>
    <w:rsid w:val="6C2076DB"/>
    <w:rsid w:val="6C262F44"/>
    <w:rsid w:val="6C2A7359"/>
    <w:rsid w:val="6C2C7E2E"/>
    <w:rsid w:val="6C3C19F2"/>
    <w:rsid w:val="6C437218"/>
    <w:rsid w:val="6C4B4758"/>
    <w:rsid w:val="6C5A3DA2"/>
    <w:rsid w:val="6C621AA2"/>
    <w:rsid w:val="6C6A06A8"/>
    <w:rsid w:val="6C6B5545"/>
    <w:rsid w:val="6C8213F8"/>
    <w:rsid w:val="6C937862"/>
    <w:rsid w:val="6C9879BF"/>
    <w:rsid w:val="6C9A5986"/>
    <w:rsid w:val="6CA80EDB"/>
    <w:rsid w:val="6CC462B9"/>
    <w:rsid w:val="6CD04C5E"/>
    <w:rsid w:val="6CD22594"/>
    <w:rsid w:val="6CD26C28"/>
    <w:rsid w:val="6CD66913"/>
    <w:rsid w:val="6CE87A65"/>
    <w:rsid w:val="6D0D1A0E"/>
    <w:rsid w:val="6D125276"/>
    <w:rsid w:val="6D150B3A"/>
    <w:rsid w:val="6D156B14"/>
    <w:rsid w:val="6D1D4A96"/>
    <w:rsid w:val="6D2D3E5E"/>
    <w:rsid w:val="6D3520E9"/>
    <w:rsid w:val="6D594F0D"/>
    <w:rsid w:val="6D6F26C8"/>
    <w:rsid w:val="6D7478CA"/>
    <w:rsid w:val="6D7952F5"/>
    <w:rsid w:val="6D824A4C"/>
    <w:rsid w:val="6D855A48"/>
    <w:rsid w:val="6D8E48E5"/>
    <w:rsid w:val="6D96673C"/>
    <w:rsid w:val="6D980001"/>
    <w:rsid w:val="6DB212CD"/>
    <w:rsid w:val="6DB57B2F"/>
    <w:rsid w:val="6DB957D2"/>
    <w:rsid w:val="6DBE53FE"/>
    <w:rsid w:val="6DDD3E00"/>
    <w:rsid w:val="6DDE15FC"/>
    <w:rsid w:val="6DE90DC0"/>
    <w:rsid w:val="6DF36E56"/>
    <w:rsid w:val="6DF96429"/>
    <w:rsid w:val="6DFF018B"/>
    <w:rsid w:val="6DFF2770"/>
    <w:rsid w:val="6E072901"/>
    <w:rsid w:val="6E093055"/>
    <w:rsid w:val="6E0C6169"/>
    <w:rsid w:val="6E0E59CE"/>
    <w:rsid w:val="6E277B0B"/>
    <w:rsid w:val="6E3477C3"/>
    <w:rsid w:val="6E355D52"/>
    <w:rsid w:val="6E43376F"/>
    <w:rsid w:val="6E492F1A"/>
    <w:rsid w:val="6E557C9B"/>
    <w:rsid w:val="6E693F43"/>
    <w:rsid w:val="6E721C4F"/>
    <w:rsid w:val="6E775CD9"/>
    <w:rsid w:val="6E865123"/>
    <w:rsid w:val="6E891568"/>
    <w:rsid w:val="6E894535"/>
    <w:rsid w:val="6E8D72AA"/>
    <w:rsid w:val="6E8E36E5"/>
    <w:rsid w:val="6E945956"/>
    <w:rsid w:val="6E9F1B60"/>
    <w:rsid w:val="6EA14B04"/>
    <w:rsid w:val="6EA832E3"/>
    <w:rsid w:val="6EAB023F"/>
    <w:rsid w:val="6EC261E0"/>
    <w:rsid w:val="6ED76777"/>
    <w:rsid w:val="6ED9396B"/>
    <w:rsid w:val="6EE42C42"/>
    <w:rsid w:val="6EEA2E3D"/>
    <w:rsid w:val="6EF9081B"/>
    <w:rsid w:val="6F057012"/>
    <w:rsid w:val="6F174DC6"/>
    <w:rsid w:val="6F176B74"/>
    <w:rsid w:val="6F356686"/>
    <w:rsid w:val="6F3A0AB4"/>
    <w:rsid w:val="6F451E31"/>
    <w:rsid w:val="6F456A67"/>
    <w:rsid w:val="6F4D3FC7"/>
    <w:rsid w:val="6F4E0370"/>
    <w:rsid w:val="6F4F7B98"/>
    <w:rsid w:val="6F55769C"/>
    <w:rsid w:val="6F5953DE"/>
    <w:rsid w:val="6F645123"/>
    <w:rsid w:val="6F6B6EC0"/>
    <w:rsid w:val="6F887A72"/>
    <w:rsid w:val="6F963F3C"/>
    <w:rsid w:val="6F99422C"/>
    <w:rsid w:val="6FA128E1"/>
    <w:rsid w:val="6FA50623"/>
    <w:rsid w:val="6FAA3E8C"/>
    <w:rsid w:val="6FB70357"/>
    <w:rsid w:val="6FD74555"/>
    <w:rsid w:val="6FE97248"/>
    <w:rsid w:val="6FF00C7D"/>
    <w:rsid w:val="700442D0"/>
    <w:rsid w:val="70173C53"/>
    <w:rsid w:val="702F4391"/>
    <w:rsid w:val="7036127C"/>
    <w:rsid w:val="703E6382"/>
    <w:rsid w:val="704020FA"/>
    <w:rsid w:val="70457711"/>
    <w:rsid w:val="70476155"/>
    <w:rsid w:val="705554CA"/>
    <w:rsid w:val="7056191E"/>
    <w:rsid w:val="7075168E"/>
    <w:rsid w:val="707A560C"/>
    <w:rsid w:val="707F2C23"/>
    <w:rsid w:val="708E7050"/>
    <w:rsid w:val="709C7E67"/>
    <w:rsid w:val="709F1517"/>
    <w:rsid w:val="70AB3A18"/>
    <w:rsid w:val="70B054D2"/>
    <w:rsid w:val="70D72A5F"/>
    <w:rsid w:val="70DC0075"/>
    <w:rsid w:val="70E4097B"/>
    <w:rsid w:val="70E64A50"/>
    <w:rsid w:val="70EF44D3"/>
    <w:rsid w:val="710E2334"/>
    <w:rsid w:val="7113776B"/>
    <w:rsid w:val="71372356"/>
    <w:rsid w:val="713734FD"/>
    <w:rsid w:val="71381E6B"/>
    <w:rsid w:val="713D6D3A"/>
    <w:rsid w:val="714D11BD"/>
    <w:rsid w:val="714F2E0B"/>
    <w:rsid w:val="71570DA3"/>
    <w:rsid w:val="7157594D"/>
    <w:rsid w:val="7170065C"/>
    <w:rsid w:val="71722787"/>
    <w:rsid w:val="71791D68"/>
    <w:rsid w:val="71883D59"/>
    <w:rsid w:val="71885DD2"/>
    <w:rsid w:val="718D75C1"/>
    <w:rsid w:val="71904F9D"/>
    <w:rsid w:val="71AF5789"/>
    <w:rsid w:val="71BB41D0"/>
    <w:rsid w:val="71BC02E9"/>
    <w:rsid w:val="71BD4B42"/>
    <w:rsid w:val="71C81208"/>
    <w:rsid w:val="71CA5696"/>
    <w:rsid w:val="71CE6D52"/>
    <w:rsid w:val="71DB6C48"/>
    <w:rsid w:val="71E60A6E"/>
    <w:rsid w:val="72163DE3"/>
    <w:rsid w:val="72325B55"/>
    <w:rsid w:val="725D3437"/>
    <w:rsid w:val="726148AD"/>
    <w:rsid w:val="72691DDC"/>
    <w:rsid w:val="726D0CA5"/>
    <w:rsid w:val="7273387F"/>
    <w:rsid w:val="727C2292"/>
    <w:rsid w:val="72822E9E"/>
    <w:rsid w:val="72A11576"/>
    <w:rsid w:val="72AE3C93"/>
    <w:rsid w:val="72B5672A"/>
    <w:rsid w:val="72B62B48"/>
    <w:rsid w:val="72C74D55"/>
    <w:rsid w:val="72C8395B"/>
    <w:rsid w:val="72CE6E2F"/>
    <w:rsid w:val="72DB610A"/>
    <w:rsid w:val="72E66F89"/>
    <w:rsid w:val="72EC65AF"/>
    <w:rsid w:val="72F2278C"/>
    <w:rsid w:val="730416B6"/>
    <w:rsid w:val="731F693F"/>
    <w:rsid w:val="73233360"/>
    <w:rsid w:val="732B0E40"/>
    <w:rsid w:val="732B567B"/>
    <w:rsid w:val="732E489D"/>
    <w:rsid w:val="7338355D"/>
    <w:rsid w:val="734E051D"/>
    <w:rsid w:val="734F621E"/>
    <w:rsid w:val="73677D96"/>
    <w:rsid w:val="736B3932"/>
    <w:rsid w:val="737B0E13"/>
    <w:rsid w:val="73813156"/>
    <w:rsid w:val="73871051"/>
    <w:rsid w:val="738B39A0"/>
    <w:rsid w:val="738C4864"/>
    <w:rsid w:val="739F35DC"/>
    <w:rsid w:val="73AD5CF9"/>
    <w:rsid w:val="73B13A3B"/>
    <w:rsid w:val="73B34DDE"/>
    <w:rsid w:val="73C170FD"/>
    <w:rsid w:val="73CF042F"/>
    <w:rsid w:val="73D204C6"/>
    <w:rsid w:val="73D4547C"/>
    <w:rsid w:val="73D57717"/>
    <w:rsid w:val="73D95504"/>
    <w:rsid w:val="73DD0602"/>
    <w:rsid w:val="73E21E46"/>
    <w:rsid w:val="73ED07EB"/>
    <w:rsid w:val="73F751C6"/>
    <w:rsid w:val="73FD0DF5"/>
    <w:rsid w:val="74063B36"/>
    <w:rsid w:val="740F6B94"/>
    <w:rsid w:val="741C69DA"/>
    <w:rsid w:val="74220495"/>
    <w:rsid w:val="74257F85"/>
    <w:rsid w:val="744C5512"/>
    <w:rsid w:val="74626BBA"/>
    <w:rsid w:val="747351D5"/>
    <w:rsid w:val="748922C2"/>
    <w:rsid w:val="748C4390"/>
    <w:rsid w:val="749173C8"/>
    <w:rsid w:val="74AA048A"/>
    <w:rsid w:val="74AF784E"/>
    <w:rsid w:val="74B3656E"/>
    <w:rsid w:val="74C76728"/>
    <w:rsid w:val="74C95FCF"/>
    <w:rsid w:val="74DD616A"/>
    <w:rsid w:val="74E22D4B"/>
    <w:rsid w:val="74E32096"/>
    <w:rsid w:val="74EF066E"/>
    <w:rsid w:val="74F82FA3"/>
    <w:rsid w:val="75107BA5"/>
    <w:rsid w:val="7530273D"/>
    <w:rsid w:val="7535244A"/>
    <w:rsid w:val="754A5259"/>
    <w:rsid w:val="754E52B9"/>
    <w:rsid w:val="75556648"/>
    <w:rsid w:val="755C13AB"/>
    <w:rsid w:val="756728EB"/>
    <w:rsid w:val="7568637B"/>
    <w:rsid w:val="75805AAF"/>
    <w:rsid w:val="758C42E8"/>
    <w:rsid w:val="759A04FF"/>
    <w:rsid w:val="75A16F23"/>
    <w:rsid w:val="75A373B3"/>
    <w:rsid w:val="75A82C1C"/>
    <w:rsid w:val="75C15A8B"/>
    <w:rsid w:val="75C56285"/>
    <w:rsid w:val="75C94940"/>
    <w:rsid w:val="75D47A6F"/>
    <w:rsid w:val="75E654F2"/>
    <w:rsid w:val="75E8126A"/>
    <w:rsid w:val="75F257F1"/>
    <w:rsid w:val="7604186E"/>
    <w:rsid w:val="760F4D23"/>
    <w:rsid w:val="762A1882"/>
    <w:rsid w:val="762D1373"/>
    <w:rsid w:val="76360227"/>
    <w:rsid w:val="763C5112"/>
    <w:rsid w:val="763D108C"/>
    <w:rsid w:val="76450948"/>
    <w:rsid w:val="7652484D"/>
    <w:rsid w:val="765406AD"/>
    <w:rsid w:val="767C19B2"/>
    <w:rsid w:val="767D7C04"/>
    <w:rsid w:val="767E5FFC"/>
    <w:rsid w:val="768044A1"/>
    <w:rsid w:val="76830F5B"/>
    <w:rsid w:val="76984A3E"/>
    <w:rsid w:val="769B008A"/>
    <w:rsid w:val="76AB7E3B"/>
    <w:rsid w:val="76B92C06"/>
    <w:rsid w:val="76C45833"/>
    <w:rsid w:val="76CF6212"/>
    <w:rsid w:val="76D14C54"/>
    <w:rsid w:val="76D4359C"/>
    <w:rsid w:val="76E47C83"/>
    <w:rsid w:val="76F605C0"/>
    <w:rsid w:val="77040325"/>
    <w:rsid w:val="770C371E"/>
    <w:rsid w:val="770E4D00"/>
    <w:rsid w:val="772122DC"/>
    <w:rsid w:val="77367FC0"/>
    <w:rsid w:val="773D3837"/>
    <w:rsid w:val="77444BC6"/>
    <w:rsid w:val="774F73DF"/>
    <w:rsid w:val="77552B9A"/>
    <w:rsid w:val="77553AAA"/>
    <w:rsid w:val="776361D8"/>
    <w:rsid w:val="776808B4"/>
    <w:rsid w:val="77686F5C"/>
    <w:rsid w:val="776B4E89"/>
    <w:rsid w:val="77894387"/>
    <w:rsid w:val="77A954AE"/>
    <w:rsid w:val="77B91110"/>
    <w:rsid w:val="77BF249E"/>
    <w:rsid w:val="77C11D73"/>
    <w:rsid w:val="77E12415"/>
    <w:rsid w:val="77E335B4"/>
    <w:rsid w:val="77F751FE"/>
    <w:rsid w:val="78061E7B"/>
    <w:rsid w:val="78085B29"/>
    <w:rsid w:val="781A76D5"/>
    <w:rsid w:val="782559BF"/>
    <w:rsid w:val="78292927"/>
    <w:rsid w:val="782B6988"/>
    <w:rsid w:val="782E08F1"/>
    <w:rsid w:val="783B7D77"/>
    <w:rsid w:val="783C3374"/>
    <w:rsid w:val="784235D4"/>
    <w:rsid w:val="784B13D5"/>
    <w:rsid w:val="78570929"/>
    <w:rsid w:val="785B27BD"/>
    <w:rsid w:val="786848E1"/>
    <w:rsid w:val="7877282E"/>
    <w:rsid w:val="7877673D"/>
    <w:rsid w:val="7879264D"/>
    <w:rsid w:val="78882890"/>
    <w:rsid w:val="789D678E"/>
    <w:rsid w:val="78A13E89"/>
    <w:rsid w:val="78A156B1"/>
    <w:rsid w:val="78A212A9"/>
    <w:rsid w:val="78AA7977"/>
    <w:rsid w:val="78AF212D"/>
    <w:rsid w:val="78BB76F7"/>
    <w:rsid w:val="78BE5338"/>
    <w:rsid w:val="78D51699"/>
    <w:rsid w:val="78DD498A"/>
    <w:rsid w:val="78E57A75"/>
    <w:rsid w:val="78F10436"/>
    <w:rsid w:val="78FB0617"/>
    <w:rsid w:val="78FD327E"/>
    <w:rsid w:val="79206F6D"/>
    <w:rsid w:val="792425B9"/>
    <w:rsid w:val="793074A6"/>
    <w:rsid w:val="79312F28"/>
    <w:rsid w:val="79336CA0"/>
    <w:rsid w:val="7953282C"/>
    <w:rsid w:val="79534A2E"/>
    <w:rsid w:val="795772EF"/>
    <w:rsid w:val="79627585"/>
    <w:rsid w:val="796B01E8"/>
    <w:rsid w:val="797058BB"/>
    <w:rsid w:val="79751067"/>
    <w:rsid w:val="797A2B65"/>
    <w:rsid w:val="797B75B8"/>
    <w:rsid w:val="79837281"/>
    <w:rsid w:val="79A96882"/>
    <w:rsid w:val="79BC0A44"/>
    <w:rsid w:val="79C03657"/>
    <w:rsid w:val="79CC49FF"/>
    <w:rsid w:val="79E104AA"/>
    <w:rsid w:val="79E9392D"/>
    <w:rsid w:val="79EB1329"/>
    <w:rsid w:val="79FD5419"/>
    <w:rsid w:val="7A0348C4"/>
    <w:rsid w:val="7A0818D0"/>
    <w:rsid w:val="7A0B3779"/>
    <w:rsid w:val="7A106FE1"/>
    <w:rsid w:val="7A1C7A6B"/>
    <w:rsid w:val="7A21395B"/>
    <w:rsid w:val="7A2860D9"/>
    <w:rsid w:val="7A2B3E1B"/>
    <w:rsid w:val="7A780ECF"/>
    <w:rsid w:val="7A7F3524"/>
    <w:rsid w:val="7A845D87"/>
    <w:rsid w:val="7A904F95"/>
    <w:rsid w:val="7A925C48"/>
    <w:rsid w:val="7A99478E"/>
    <w:rsid w:val="7A9E283F"/>
    <w:rsid w:val="7AA023CB"/>
    <w:rsid w:val="7AA62872"/>
    <w:rsid w:val="7AB636E5"/>
    <w:rsid w:val="7ABE4C8F"/>
    <w:rsid w:val="7ACB3368"/>
    <w:rsid w:val="7AD45EA3"/>
    <w:rsid w:val="7AE364A4"/>
    <w:rsid w:val="7AE8553D"/>
    <w:rsid w:val="7AFC08CD"/>
    <w:rsid w:val="7B0408F4"/>
    <w:rsid w:val="7B0E7C5F"/>
    <w:rsid w:val="7B160627"/>
    <w:rsid w:val="7B193C74"/>
    <w:rsid w:val="7B373D22"/>
    <w:rsid w:val="7B4E6013"/>
    <w:rsid w:val="7B4E7899"/>
    <w:rsid w:val="7B5F5B2A"/>
    <w:rsid w:val="7B785778"/>
    <w:rsid w:val="7B7B101C"/>
    <w:rsid w:val="7B892F1E"/>
    <w:rsid w:val="7B8C08E9"/>
    <w:rsid w:val="7B917CAE"/>
    <w:rsid w:val="7BB3231A"/>
    <w:rsid w:val="7BB8348D"/>
    <w:rsid w:val="7BBA5457"/>
    <w:rsid w:val="7BD858DD"/>
    <w:rsid w:val="7BDD2EF3"/>
    <w:rsid w:val="7BE2675B"/>
    <w:rsid w:val="7BE349AD"/>
    <w:rsid w:val="7BE51199"/>
    <w:rsid w:val="7C0255A5"/>
    <w:rsid w:val="7C044924"/>
    <w:rsid w:val="7C06069C"/>
    <w:rsid w:val="7C08581D"/>
    <w:rsid w:val="7C0B7A60"/>
    <w:rsid w:val="7C105077"/>
    <w:rsid w:val="7C1655B7"/>
    <w:rsid w:val="7C30077B"/>
    <w:rsid w:val="7C300A4B"/>
    <w:rsid w:val="7C376AA7"/>
    <w:rsid w:val="7C405169"/>
    <w:rsid w:val="7C43369E"/>
    <w:rsid w:val="7C460A98"/>
    <w:rsid w:val="7C540D1F"/>
    <w:rsid w:val="7C574A54"/>
    <w:rsid w:val="7C5A4544"/>
    <w:rsid w:val="7C605FFE"/>
    <w:rsid w:val="7C653614"/>
    <w:rsid w:val="7C6576E5"/>
    <w:rsid w:val="7C703CFE"/>
    <w:rsid w:val="7C8C53E6"/>
    <w:rsid w:val="7C9F0C33"/>
    <w:rsid w:val="7CA0464C"/>
    <w:rsid w:val="7CA81753"/>
    <w:rsid w:val="7CAA4F4C"/>
    <w:rsid w:val="7CAC38A6"/>
    <w:rsid w:val="7CAD6D69"/>
    <w:rsid w:val="7CB20482"/>
    <w:rsid w:val="7CB20EED"/>
    <w:rsid w:val="7CB21016"/>
    <w:rsid w:val="7CB9570E"/>
    <w:rsid w:val="7CCA3477"/>
    <w:rsid w:val="7CD460A4"/>
    <w:rsid w:val="7CDB5685"/>
    <w:rsid w:val="7CE00EED"/>
    <w:rsid w:val="7CFB45A5"/>
    <w:rsid w:val="7D012ED6"/>
    <w:rsid w:val="7D056BA5"/>
    <w:rsid w:val="7D146DE8"/>
    <w:rsid w:val="7D1A61A8"/>
    <w:rsid w:val="7D204D50"/>
    <w:rsid w:val="7D221505"/>
    <w:rsid w:val="7D276B1C"/>
    <w:rsid w:val="7D2E2F27"/>
    <w:rsid w:val="7D34324E"/>
    <w:rsid w:val="7D5471E5"/>
    <w:rsid w:val="7D567CB0"/>
    <w:rsid w:val="7D717D97"/>
    <w:rsid w:val="7D7635FF"/>
    <w:rsid w:val="7D8A0E59"/>
    <w:rsid w:val="7D913F95"/>
    <w:rsid w:val="7D935F5F"/>
    <w:rsid w:val="7D965A4F"/>
    <w:rsid w:val="7D9879D1"/>
    <w:rsid w:val="7DA05987"/>
    <w:rsid w:val="7DBD2FDC"/>
    <w:rsid w:val="7DC0487A"/>
    <w:rsid w:val="7DC06949"/>
    <w:rsid w:val="7DD531F7"/>
    <w:rsid w:val="7DE764EB"/>
    <w:rsid w:val="7DF73C8C"/>
    <w:rsid w:val="7DFE7371"/>
    <w:rsid w:val="7DFE77EE"/>
    <w:rsid w:val="7E105802"/>
    <w:rsid w:val="7E13212B"/>
    <w:rsid w:val="7E1626EC"/>
    <w:rsid w:val="7E1D5DB2"/>
    <w:rsid w:val="7E1E2B24"/>
    <w:rsid w:val="7E1E5148"/>
    <w:rsid w:val="7E254A04"/>
    <w:rsid w:val="7E3305D0"/>
    <w:rsid w:val="7E4234E1"/>
    <w:rsid w:val="7E4B05E8"/>
    <w:rsid w:val="7E4B4A8C"/>
    <w:rsid w:val="7E5356EF"/>
    <w:rsid w:val="7E6B2B63"/>
    <w:rsid w:val="7E7F0855"/>
    <w:rsid w:val="7E851D4C"/>
    <w:rsid w:val="7E8D082C"/>
    <w:rsid w:val="7E9E5113"/>
    <w:rsid w:val="7EA05185"/>
    <w:rsid w:val="7EA146AC"/>
    <w:rsid w:val="7EB4618D"/>
    <w:rsid w:val="7EB8654B"/>
    <w:rsid w:val="7EBE7C76"/>
    <w:rsid w:val="7EBF65DE"/>
    <w:rsid w:val="7EC02D84"/>
    <w:rsid w:val="7EC860DC"/>
    <w:rsid w:val="7ECF746B"/>
    <w:rsid w:val="7ED230BC"/>
    <w:rsid w:val="7ED85CFD"/>
    <w:rsid w:val="7ED95347"/>
    <w:rsid w:val="7EE34CC4"/>
    <w:rsid w:val="7EEB5927"/>
    <w:rsid w:val="7EFE052B"/>
    <w:rsid w:val="7F017107"/>
    <w:rsid w:val="7F111682"/>
    <w:rsid w:val="7F121277"/>
    <w:rsid w:val="7F1976DD"/>
    <w:rsid w:val="7F266502"/>
    <w:rsid w:val="7F2826D7"/>
    <w:rsid w:val="7F3B065C"/>
    <w:rsid w:val="7F723D48"/>
    <w:rsid w:val="7F731593"/>
    <w:rsid w:val="7F92656E"/>
    <w:rsid w:val="7F945FBF"/>
    <w:rsid w:val="7FA93818"/>
    <w:rsid w:val="7FB56661"/>
    <w:rsid w:val="7FBE12DF"/>
    <w:rsid w:val="7FCC39AA"/>
    <w:rsid w:val="7FD14B1D"/>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8">
    <w:name w:val="Default Paragraph Font"/>
    <w:autoRedefine/>
    <w:qFormat/>
    <w:uiPriority w:val="1"/>
  </w:style>
  <w:style w:type="table" w:default="1" w:styleId="26">
    <w:name w:val="Normal Table"/>
    <w:autoRedefine/>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210"/>
    </w:pPr>
  </w:style>
  <w:style w:type="paragraph" w:styleId="3">
    <w:name w:val="Body Text Indent"/>
    <w:basedOn w:val="1"/>
    <w:autoRedefine/>
    <w:qFormat/>
    <w:uiPriority w:val="0"/>
    <w:pPr>
      <w:ind w:firstLine="570"/>
    </w:pPr>
    <w:rPr>
      <w:rFonts w:ascii="宋体" w:hAnsi="宋体"/>
      <w:sz w:val="28"/>
      <w:szCs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autoRedefine/>
    <w:qFormat/>
    <w:uiPriority w:val="99"/>
    <w:pPr>
      <w:ind w:firstLine="420"/>
    </w:pPr>
    <w:rPr>
      <w:rFonts w:ascii="Calibri" w:hAnsi="Calibri"/>
      <w:sz w:val="20"/>
      <w:szCs w:val="20"/>
    </w:rPr>
  </w:style>
  <w:style w:type="paragraph" w:styleId="10">
    <w:name w:val="Body Text"/>
    <w:basedOn w:val="1"/>
    <w:link w:val="49"/>
    <w:autoRedefine/>
    <w:qFormat/>
    <w:uiPriority w:val="0"/>
    <w:rPr>
      <w:sz w:val="24"/>
    </w:rPr>
  </w:style>
  <w:style w:type="paragraph" w:styleId="11">
    <w:name w:val="annotation text"/>
    <w:basedOn w:val="1"/>
    <w:link w:val="53"/>
    <w:autoRedefine/>
    <w:qFormat/>
    <w:uiPriority w:val="0"/>
    <w:pPr>
      <w:jc w:val="left"/>
    </w:pPr>
  </w:style>
  <w:style w:type="paragraph" w:styleId="12">
    <w:name w:val="Body Text 3"/>
    <w:basedOn w:val="1"/>
    <w:autoRedefine/>
    <w:qFormat/>
    <w:uiPriority w:val="99"/>
    <w:pPr>
      <w:spacing w:after="120"/>
    </w:pPr>
    <w:rPr>
      <w:sz w:val="16"/>
      <w:szCs w:val="16"/>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Body Text Indent 2"/>
    <w:basedOn w:val="1"/>
    <w:autoRedefine/>
    <w:qFormat/>
    <w:uiPriority w:val="0"/>
    <w:pPr>
      <w:spacing w:before="312" w:beforeLines="100" w:line="520" w:lineRule="exact"/>
      <w:ind w:firstLine="573"/>
    </w:pPr>
    <w:rPr>
      <w:sz w:val="28"/>
    </w:rPr>
  </w:style>
  <w:style w:type="paragraph" w:styleId="16">
    <w:name w:val="Balloon Text"/>
    <w:basedOn w:val="1"/>
    <w:link w:val="55"/>
    <w:autoRedefine/>
    <w:qFormat/>
    <w:uiPriority w:val="0"/>
    <w:rPr>
      <w:sz w:val="18"/>
      <w:szCs w:val="18"/>
    </w:rPr>
  </w:style>
  <w:style w:type="paragraph" w:styleId="17">
    <w:name w:val="footer"/>
    <w:basedOn w:val="1"/>
    <w:link w:val="5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0">
    <w:name w:val="List"/>
    <w:basedOn w:val="1"/>
    <w:autoRedefine/>
    <w:qFormat/>
    <w:uiPriority w:val="0"/>
    <w:pPr>
      <w:ind w:left="420" w:hanging="420"/>
    </w:pPr>
    <w:rPr>
      <w:rFonts w:ascii="Arial" w:hAnsi="Arial" w:eastAsia="楷体_GB2312"/>
    </w:rPr>
  </w:style>
  <w:style w:type="paragraph" w:styleId="21">
    <w:name w:val="toc 2"/>
    <w:basedOn w:val="1"/>
    <w:next w:val="1"/>
    <w:autoRedefine/>
    <w:qFormat/>
    <w:uiPriority w:val="39"/>
    <w:pPr>
      <w:tabs>
        <w:tab w:val="right" w:leader="dot" w:pos="8296"/>
      </w:tabs>
      <w:ind w:left="420" w:leftChars="200"/>
    </w:p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4">
    <w:name w:val="annotation subject"/>
    <w:basedOn w:val="11"/>
    <w:next w:val="11"/>
    <w:link w:val="54"/>
    <w:autoRedefine/>
    <w:qFormat/>
    <w:uiPriority w:val="0"/>
    <w:rPr>
      <w:b/>
      <w:bCs/>
    </w:rPr>
  </w:style>
  <w:style w:type="paragraph" w:styleId="25">
    <w:name w:val="Body Text First Indent"/>
    <w:basedOn w:val="10"/>
    <w:autoRedefine/>
    <w:qFormat/>
    <w:uiPriority w:val="99"/>
    <w:pPr>
      <w:spacing w:after="120"/>
      <w:ind w:firstLine="420" w:firstLineChars="100"/>
    </w:pPr>
    <w:rPr>
      <w:sz w:val="21"/>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Emphasis"/>
    <w:basedOn w:val="28"/>
    <w:autoRedefine/>
    <w:qFormat/>
    <w:uiPriority w:val="20"/>
    <w:rPr>
      <w:i/>
      <w:iCs/>
    </w:rPr>
  </w:style>
  <w:style w:type="character" w:styleId="31">
    <w:name w:val="Hyperlink"/>
    <w:autoRedefine/>
    <w:qFormat/>
    <w:uiPriority w:val="99"/>
    <w:rPr>
      <w:color w:val="0000FF"/>
      <w:u w:val="single"/>
    </w:rPr>
  </w:style>
  <w:style w:type="character" w:styleId="32">
    <w:name w:val="annotation reference"/>
    <w:basedOn w:val="28"/>
    <w:autoRedefine/>
    <w:qFormat/>
    <w:uiPriority w:val="0"/>
    <w:rPr>
      <w:sz w:val="21"/>
      <w:szCs w:val="21"/>
    </w:rPr>
  </w:style>
  <w:style w:type="paragraph" w:customStyle="1" w:styleId="33">
    <w:name w:val="_Style 3"/>
    <w:basedOn w:val="1"/>
    <w:autoRedefine/>
    <w:qFormat/>
    <w:uiPriority w:val="0"/>
    <w:pPr>
      <w:ind w:firstLine="420" w:firstLineChars="200"/>
    </w:pPr>
    <w:rPr>
      <w:sz w:val="20"/>
    </w:rPr>
  </w:style>
  <w:style w:type="paragraph" w:customStyle="1" w:styleId="34">
    <w:name w:val="表格文字"/>
    <w:basedOn w:val="35"/>
    <w:next w:val="10"/>
    <w:autoRedefine/>
    <w:qFormat/>
    <w:uiPriority w:val="0"/>
    <w:pPr>
      <w:spacing w:before="25" w:after="25"/>
      <w:jc w:val="left"/>
    </w:pPr>
    <w:rPr>
      <w:bCs/>
      <w:spacing w:val="10"/>
      <w:kern w:val="0"/>
      <w:sz w:val="24"/>
      <w:szCs w:val="20"/>
    </w:rPr>
  </w:style>
  <w:style w:type="paragraph" w:customStyle="1" w:styleId="35">
    <w:name w:val="表格文字（两侧对齐）"/>
    <w:basedOn w:val="1"/>
    <w:autoRedefine/>
    <w:qFormat/>
    <w:uiPriority w:val="0"/>
    <w:pPr>
      <w:snapToGrid w:val="0"/>
    </w:pPr>
    <w:rPr>
      <w:kern w:val="0"/>
      <w:sz w:val="20"/>
    </w:r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6'"/>
    <w:basedOn w:val="1"/>
    <w:next w:val="38"/>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8">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character" w:customStyle="1" w:styleId="39">
    <w:name w:val="font01"/>
    <w:autoRedefine/>
    <w:qFormat/>
    <w:uiPriority w:val="0"/>
    <w:rPr>
      <w:rFonts w:hint="eastAsia" w:ascii="宋体" w:hAnsi="宋体" w:eastAsia="宋体" w:cs="宋体"/>
      <w:color w:val="0000FF"/>
      <w:sz w:val="22"/>
      <w:szCs w:val="22"/>
      <w:u w:val="none"/>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1">
    <w:name w:val="正文缩进1"/>
    <w:basedOn w:val="42"/>
    <w:autoRedefine/>
    <w:qFormat/>
    <w:uiPriority w:val="0"/>
    <w:pPr>
      <w:widowControl/>
      <w:ind w:firstLine="420"/>
      <w:jc w:val="left"/>
    </w:pPr>
    <w:rPr>
      <w:rFonts w:ascii="Calibri" w:hAnsi="Calibri"/>
      <w:kern w:val="0"/>
    </w:rPr>
  </w:style>
  <w:style w:type="paragraph" w:customStyle="1" w:styleId="42">
    <w:name w:val="正文_2"/>
    <w:next w:val="4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列表段落1"/>
    <w:basedOn w:val="1"/>
    <w:autoRedefine/>
    <w:qFormat/>
    <w:uiPriority w:val="34"/>
    <w:pPr>
      <w:widowControl/>
      <w:ind w:firstLine="420" w:firstLineChars="200"/>
      <w:jc w:val="left"/>
    </w:pPr>
    <w:rPr>
      <w:kern w:val="0"/>
      <w:sz w:val="20"/>
      <w:szCs w:val="20"/>
    </w:rPr>
  </w:style>
  <w:style w:type="paragraph" w:customStyle="1" w:styleId="4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6">
    <w:name w:val="font11"/>
    <w:basedOn w:val="28"/>
    <w:autoRedefine/>
    <w:qFormat/>
    <w:uiPriority w:val="0"/>
    <w:rPr>
      <w:rFonts w:hint="eastAsia" w:ascii="宋体" w:hAnsi="宋体" w:eastAsia="宋体" w:cs="宋体"/>
      <w:color w:val="000000"/>
      <w:sz w:val="21"/>
      <w:szCs w:val="21"/>
      <w:u w:val="none"/>
    </w:rPr>
  </w:style>
  <w:style w:type="character" w:customStyle="1" w:styleId="47">
    <w:name w:val="font21"/>
    <w:basedOn w:val="28"/>
    <w:autoRedefine/>
    <w:qFormat/>
    <w:uiPriority w:val="0"/>
    <w:rPr>
      <w:rFonts w:hint="eastAsia" w:ascii="宋体" w:hAnsi="宋体" w:eastAsia="宋体" w:cs="宋体"/>
      <w:b/>
      <w:bCs/>
      <w:color w:val="000000"/>
      <w:sz w:val="18"/>
      <w:szCs w:val="18"/>
      <w:u w:val="none"/>
    </w:rPr>
  </w:style>
  <w:style w:type="character" w:customStyle="1" w:styleId="48">
    <w:name w:val="font31"/>
    <w:basedOn w:val="28"/>
    <w:autoRedefine/>
    <w:qFormat/>
    <w:uiPriority w:val="0"/>
    <w:rPr>
      <w:rFonts w:hint="eastAsia" w:ascii="宋体" w:hAnsi="宋体" w:eastAsia="宋体" w:cs="宋体"/>
      <w:color w:val="000000"/>
      <w:sz w:val="21"/>
      <w:szCs w:val="21"/>
      <w:u w:val="none"/>
    </w:rPr>
  </w:style>
  <w:style w:type="character" w:customStyle="1" w:styleId="49">
    <w:name w:val="正文文本 字符"/>
    <w:basedOn w:val="28"/>
    <w:link w:val="10"/>
    <w:autoRedefine/>
    <w:qFormat/>
    <w:uiPriority w:val="0"/>
    <w:rPr>
      <w:kern w:val="2"/>
      <w:sz w:val="21"/>
      <w:szCs w:val="24"/>
    </w:rPr>
  </w:style>
  <w:style w:type="paragraph" w:customStyle="1" w:styleId="50">
    <w:name w:val="列表段落2"/>
    <w:basedOn w:val="1"/>
    <w:autoRedefine/>
    <w:qFormat/>
    <w:uiPriority w:val="0"/>
    <w:pPr>
      <w:ind w:firstLine="420" w:firstLineChars="200"/>
    </w:pPr>
  </w:style>
  <w:style w:type="character" w:customStyle="1" w:styleId="51">
    <w:name w:val="页脚 字符"/>
    <w:basedOn w:val="28"/>
    <w:link w:val="17"/>
    <w:autoRedefine/>
    <w:qFormat/>
    <w:uiPriority w:val="0"/>
    <w:rPr>
      <w:kern w:val="2"/>
      <w:sz w:val="18"/>
      <w:szCs w:val="24"/>
    </w:rPr>
  </w:style>
  <w:style w:type="paragraph" w:customStyle="1" w:styleId="52">
    <w:name w:val="列出段落111"/>
    <w:basedOn w:val="1"/>
    <w:autoRedefine/>
    <w:qFormat/>
    <w:uiPriority w:val="0"/>
    <w:pPr>
      <w:ind w:firstLine="420" w:firstLineChars="200"/>
    </w:pPr>
    <w:rPr>
      <w:rFonts w:ascii="Calibri" w:hAnsi="Calibri"/>
      <w:kern w:val="0"/>
      <w:sz w:val="20"/>
      <w:szCs w:val="20"/>
    </w:rPr>
  </w:style>
  <w:style w:type="character" w:customStyle="1" w:styleId="53">
    <w:name w:val="批注文字 字符"/>
    <w:basedOn w:val="28"/>
    <w:link w:val="11"/>
    <w:autoRedefine/>
    <w:qFormat/>
    <w:uiPriority w:val="0"/>
    <w:rPr>
      <w:kern w:val="2"/>
      <w:sz w:val="21"/>
      <w:szCs w:val="24"/>
    </w:rPr>
  </w:style>
  <w:style w:type="character" w:customStyle="1" w:styleId="54">
    <w:name w:val="批注主题 字符"/>
    <w:basedOn w:val="53"/>
    <w:link w:val="24"/>
    <w:autoRedefine/>
    <w:qFormat/>
    <w:uiPriority w:val="0"/>
    <w:rPr>
      <w:b/>
      <w:bCs/>
      <w:kern w:val="2"/>
      <w:sz w:val="21"/>
      <w:szCs w:val="24"/>
    </w:rPr>
  </w:style>
  <w:style w:type="character" w:customStyle="1" w:styleId="55">
    <w:name w:val="批注框文本 字符"/>
    <w:basedOn w:val="28"/>
    <w:link w:val="16"/>
    <w:autoRedefine/>
    <w:qFormat/>
    <w:uiPriority w:val="0"/>
    <w:rPr>
      <w:kern w:val="2"/>
      <w:sz w:val="18"/>
      <w:szCs w:val="18"/>
    </w:rPr>
  </w:style>
  <w:style w:type="paragraph" w:styleId="56">
    <w:name w:val="List Paragraph"/>
    <w:basedOn w:val="1"/>
    <w:autoRedefine/>
    <w:qFormat/>
    <w:uiPriority w:val="99"/>
    <w:pPr>
      <w:ind w:firstLine="420" w:firstLineChars="200"/>
    </w:pPr>
  </w:style>
  <w:style w:type="paragraph" w:styleId="57">
    <w:name w:val="No Spacing"/>
    <w:autoRedefine/>
    <w:qFormat/>
    <w:uiPriority w:val="99"/>
    <w:rPr>
      <w:rFonts w:ascii="Times New Roman" w:hAnsi="Times New Roman" w:eastAsia="宋体" w:cs="Calibri"/>
      <w:sz w:val="22"/>
      <w:szCs w:val="22"/>
      <w:lang w:val="en-US" w:eastAsia="en-US" w:bidi="ar-SA"/>
    </w:rPr>
  </w:style>
  <w:style w:type="paragraph" w:customStyle="1" w:styleId="58">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9">
    <w:name w:val="列出段落1"/>
    <w:basedOn w:val="1"/>
    <w:autoRedefine/>
    <w:qFormat/>
    <w:uiPriority w:val="34"/>
    <w:pPr>
      <w:widowControl/>
      <w:ind w:firstLine="420" w:firstLineChars="200"/>
      <w:jc w:val="left"/>
    </w:pPr>
    <w:rPr>
      <w:kern w:val="0"/>
      <w:sz w:val="20"/>
      <w:szCs w:val="20"/>
    </w:rPr>
  </w:style>
  <w:style w:type="table" w:customStyle="1" w:styleId="60">
    <w:name w:val="Table Normal"/>
    <w:autoRedefine/>
    <w:qFormat/>
    <w:uiPriority w:val="0"/>
    <w:tblPr>
      <w:tblCellMar>
        <w:top w:w="0" w:type="dxa"/>
        <w:left w:w="0" w:type="dxa"/>
        <w:bottom w:w="0" w:type="dxa"/>
        <w:right w:w="0" w:type="dxa"/>
      </w:tblCellMar>
    </w:tblPr>
  </w:style>
  <w:style w:type="paragraph" w:customStyle="1" w:styleId="61">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4">
    <w:name w:val="font41"/>
    <w:basedOn w:val="28"/>
    <w:autoRedefine/>
    <w:qFormat/>
    <w:uiPriority w:val="0"/>
    <w:rPr>
      <w:rFonts w:hint="eastAsia" w:ascii="仿宋" w:hAnsi="仿宋" w:eastAsia="仿宋" w:cs="仿宋"/>
      <w:color w:val="000000"/>
      <w:sz w:val="21"/>
      <w:szCs w:val="21"/>
      <w:u w:val="none"/>
    </w:rPr>
  </w:style>
  <w:style w:type="character" w:customStyle="1" w:styleId="65">
    <w:name w:val="font61"/>
    <w:basedOn w:val="28"/>
    <w:autoRedefine/>
    <w:qFormat/>
    <w:uiPriority w:val="0"/>
    <w:rPr>
      <w:rFonts w:hint="eastAsia" w:ascii="宋体" w:hAnsi="宋体" w:eastAsia="宋体" w:cs="宋体"/>
      <w:color w:val="000000"/>
      <w:sz w:val="24"/>
      <w:szCs w:val="24"/>
      <w:u w:val="none"/>
    </w:rPr>
  </w:style>
  <w:style w:type="character" w:customStyle="1" w:styleId="66">
    <w:name w:val="font51"/>
    <w:basedOn w:val="28"/>
    <w:autoRedefine/>
    <w:qFormat/>
    <w:uiPriority w:val="0"/>
    <w:rPr>
      <w:rFonts w:hint="eastAsia" w:ascii="宋体" w:hAnsi="宋体" w:eastAsia="宋体" w:cs="宋体"/>
      <w:color w:val="000000"/>
      <w:sz w:val="21"/>
      <w:szCs w:val="21"/>
      <w:u w:val="none"/>
    </w:rPr>
  </w:style>
  <w:style w:type="paragraph" w:customStyle="1" w:styleId="67">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0</TotalTime>
  <ScaleCrop>false</ScaleCrop>
  <LinksUpToDate>false</LinksUpToDate>
  <CharactersWithSpaces>25217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ZCB</cp:lastModifiedBy>
  <cp:lastPrinted>2024-03-26T09:11:00Z</cp:lastPrinted>
  <dcterms:modified xsi:type="dcterms:W3CDTF">2024-05-08T01:45:45Z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58B2CDFAE9554F708804F5FF98827471_13</vt:lpwstr>
  </property>
  <property fmtid="{D5CDD505-2E9C-101B-9397-08002B2CF9AE}" pid="4" name="commondata">
    <vt:lpwstr>eyJoZGlkIjoiZGNiZjhiYWJkMzQ2ODliZDg0M2NkY2U3ZDYyYTQ3YzEifQ==</vt:lpwstr>
  </property>
</Properties>
</file>